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PE.2009.0019 vom 16. April 2009</w:t>
      </w:r>
    </w:p>
    <w:p>
      <w:r>
        <w:t>VD Tribunal cantonal, 2009-04-16, FR</w:t>
      </w:r>
    </w:p>
    <w:p>
      <w:r>
        <w:rPr>
          <w:b/>
        </w:rPr>
        <w:t xml:space="preserve">Quelle: </w:t>
      </w:r>
      <w:r>
        <w:t>https://mcp.opencaselaw.ch/entscheid/vd_omni_PE.2009.0019</w:t>
      </w:r>
    </w:p>
    <w:p>
      <w:r>
        <w:t>FR: VD_OMNI PE.2009.0019 du 16 avril 2009</w:t>
      </w:r>
    </w:p>
    <w:p>
      <w:r>
        <w:t>IT: VD_OMNI PE.2009.0019 del 16 aprile 2009</w:t>
      </w:r>
    </w:p>
    <w:p>
      <w:pPr>
        <w:pStyle w:val="Heading2"/>
      </w:pPr>
      <w:r>
        <w:t>Regeste</w:t>
      </w:r>
    </w:p>
    <w:p>
      <w:r>
        <w:t>X. c/Service de la population (SPOP) | Le recourant, originaire de Côte d'Ivoire et arrivé en Suisse en 1995, a requis en 2007 l'octroi d'une autorisation de séjour en faveur de son fils né hors mariage en Côte d'Ivoire en 1996 et qui a vécu jusqu'alors dans son pays auprès de sa mère. Il allègue avoir renoncé à faire venir son fils auparavant, car son ex-épouse s'y opposait. Il n'a pas non plus entamé de démarches en ce sens après son divorce en 2004 au motif qu'il ne disposait pas des moyens financiers suffisants pour accueillir un enfant mineur. Ces motifs ne justifient pas un regroupement familial différé, ce d'autant plus que le fils du recourant, âgé de 11 ans, a ses principales attaches culturelles, sociales et affectives en Côte d'Ivoire. En outre, aucun élément du dossier ne permet de retenir que le recourant a, en dépit de la séparation et de la distance, établi et entretenu une relation familiale prépondérante avec son fils. Enfin, les explications du recourant selon lesquelles les coutumes de son pays veulent qu'un enfant soit pris en charge par son père ne sont pas recevables en l'espèce, a fortiori si l'on considère que, nonobstant cette tradition, le recourant a laissé son enfant à la charge de sa mère dans son pays pendant plus de onze ans. Recours rejeté.</w:t>
      </w:r>
    </w:p>
    <w:p>
      <w:pPr>
        <w:pStyle w:val="Heading2"/>
      </w:pPr>
      <w:r>
        <w:t>Erwägungen</w:t>
      </w:r>
    </w:p>
    <w:p>
      <w:r>
        <w:rPr>
          <w:b/>
        </w:rPr>
        <w:t>E. 1</w:t>
      </w:r>
    </w:p>
    <w:p>
      <w:r>
        <w:t>La nouvelle loi fédérale sur les étrangers du 16 décembre 2005 (ci-après : LEtr ; RS 142.20),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En l'espèce, la demande de regroupement familial a été déposée le 25 mai 2007, soit avant l'entrée en vigueur de la LEtr. Partant, la validité matérielle de la décision attaquée doit être examinée à l'aune de l'ancien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LSEE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2.4</w:t>
      </w:r>
    </w:p>
    <w:p>
      <w:r>
        <w:t>p. 256 ; 126 II 329 consid. 3b p. 332 ; 125 II 633 consid. 3a p. 639/640 ; 124 II 361 consid.  3a p. 366 ; 118 Ib 153 consid. 2c p. 160 et les arrêts cités). Dans un arrêt du 19 décembre 2006 destiné à la publication (cause 2A.316/2006), le Tribunal fédéral a maintenu et explicité sa jurisprudence.  Il a indiqué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son 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continuer autant que possible à privilégier la venue en Suisse de jeunes enfants, mieux à même de s'adapter à un nouvel environnement (familial, social, éducatif, linguistique, scolaire, ...) que des adolescents ou des enfants proches de l'adolescence.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w:t>
      </w:r>
    </w:p>
    <w:p>
      <w:r>
        <w:rPr>
          <w:b/>
        </w:rPr>
        <w:t>E. 3</w:t>
      </w:r>
    </w:p>
    <w:p>
      <w:r>
        <w:t>et 5). b) En l'espèce, l'enfant dont le recourant demande la venue en Suisse au titre du regroupement familial, est né le 15 mars 1996, soit après l'arrivée en Suisse du recourant. Ce dernier n'a dès lors jamais mené une vie commune avec cet enfant. En 1997, le recourant a épousé une ressortissante ghanéenne titulaire d'une autorisation de séjour en Suisse avec laquelle il a eu deux enfants nés en 1998 et 2000. Le recourant allègue que pendant les sept ans qu'a duré cette union conjugale, il a renoncé à faire venir son premier fils en Suisse au motif que son épouse s'y opposait. A cet égard, l'on relèvera que cette dernière s'y opposait pour des motifs de pure convenance personnelle et non pour des motifs objectivement fondés tels que par exemple la venue d'une fratrie nombreuse. Après le prononcé du divorce en 2004, le recourant n'a toujours pas entrepris les démarches nécessaires en vue de faire venir son premier fils en Suisse au motif cette fois-ci qu'il ne disposait pas des moyens financiers suffisants, notamment d'un appartement permettant l'accueil d'un enfant mineur. Ce n'est dès lors qu'en 2007, soit alors qu'il était âgé de onze ans, que le recourant a entrepris des démarches en vue d'obtenir une autorisation de séjour pour son premier fils. Entre 1996 et 2007, le fils du recourant a donc vécu auprès de sa mère en Côte d'Ivoire. A l'évidence, c'est dans ce pays qu'il a ses principales attaches culturelles, sociales et affectives. Aucun élément du dossier ne permet de retenir qu'en dépit de la séparation et de la distance, le recourant ait établi et entretenu une relation familiale prépondérante avec son premier fils. Il apparaît en effet improbable qu'il ait pu construire une relation avec cet enfant qui soit plus importante et solide que celle qu'il entretient avec sa mère, alors même que cet enfant est né quand son père avait déjà quitté son pays. De plus, aucun motif impérieux et solidement étayé ne justifie le déplacement de cet enfant. Au contraire, ce déplacement pourrait engendrer des problèmes d'intégration dès lors qu'il a passé toute son enfance dans son pays et qu'il n'a entretenu que des liens très distants avec son père. Enfin, les explications du recourant selon lesquelles les coutumes de son pays veulent qu'un enfant soit pris en charge par son père ne sont pas recevables en l'espèce. En effet, nonobstant la tradition ivoirienne, le recourant a laissé son enfant à la charge de sa mère dans son pays pendant plus de onze ans. Il apparaît dès lors que le recourant ne remplit pas les conditions du droit au regroupement familial prévues par la législation suisse ainsi que la CEDH. L'autorité intimée n'a dès lors pas abusé de son pouvoir d'appréciation en refusant de délivrer à son fils une autorisation de séjour en Suisse.</w:t>
      </w:r>
    </w:p>
    <w:p>
      <w:r>
        <w:rPr>
          <w:b/>
        </w:rPr>
        <w:t>E. 4</w:t>
      </w:r>
    </w:p>
    <w:p>
      <w:r>
        <w:t>Le recourant a requis l'audition de deux témoins par la Cour de céans.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 127 V 431 consid. 3d/aa pp. 437/438 ; 126 V 130 consid. 2b pp. 131/132 et les arrêts cités). b) En l’espèce, l'audition des deux témoins requise par le recourant n'apporteraient aucun élément utile à la cause. En effet, le fait allégué, à savoir l'opposition de la première épouse du recourant à la venue de son premier fils en Suisse, n'est pas contesté. Ce fait n'est cependant pas propre à modifier la situation du recourant respectivement de son fils. Comme cela a été discuté précédemment, ce refus ne constitue pas dans le cas d'espèce un motif valable justifiant une demande de regroupement familial différé. En outre, le recourant a encore attendu trois ans après son divorce pour entamer les démarches aux fins de faire venir son premier fils en Suisse. Il n'y a partant pas lieu de procéder à l'audition de ces deux témoins.</w:t>
      </w:r>
    </w:p>
    <w:p>
      <w:r>
        <w:rPr>
          <w:b/>
        </w:rPr>
        <w:t>E. 5</w:t>
      </w:r>
    </w:p>
    <w:p>
      <w:r>
        <w:t>Il découle des considérations qui précèdent que le recours est mal fondé et doit être rejeté aux frais du recourant qui n'a pas le droit à des dépens (art. 49 et 55 de la loi du 28 octobre 2008 sur la procédure administrative - LPA;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