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PE.2008.0516 vom 24. Juni 2009</w:t>
      </w:r>
    </w:p>
    <w:p>
      <w:r>
        <w:t>VD Tribunal cantonal, 2009-06-24, FR</w:t>
      </w:r>
    </w:p>
    <w:p>
      <w:r>
        <w:rPr>
          <w:b/>
        </w:rPr>
        <w:t xml:space="preserve">Quelle: </w:t>
      </w:r>
      <w:r>
        <w:t>https://mcp.opencaselaw.ch/entscheid/vd_omni_PE.2008.0516</w:t>
      </w:r>
    </w:p>
    <w:p>
      <w:r>
        <w:t>FR: VD_OMNI PE.2008.0516 du 24 juin 2009</w:t>
      </w:r>
    </w:p>
    <w:p>
      <w:r>
        <w:t>IT: VD_OMNI PE.2008.0516 del 24 giugno 2009</w:t>
      </w:r>
    </w:p>
    <w:p>
      <w:pPr>
        <w:pStyle w:val="Heading2"/>
      </w:pPr>
      <w:r>
        <w:t>Regeste</w:t>
      </w:r>
    </w:p>
    <w:p>
      <w:r>
        <w:t>X /Service de la population (SPOP) | Le recourant, ressortissant camerounais, a épousé une Suissesse. Les époux étant désormais divorcés, il ne peut plus invoquer l'art. 42 al. 1 LEtr pour obtenir la prolongation de son autorisation de séjour. Il ne peut par ailleurs se prévaloir ni de l'art. 50 al. 1 let. a LEtr, dès lors que l'union conjugale a duré moins de trois ans, ni de l'art. 50 al. 1 let. b LEtr, dès lors qu'aucune raison personnelle majeure n'impose la poursuite de son séjour en Suisse. Recours rejeté.</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Le recourant a requis la tenue d'une audience.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b) En l'espèce, le recourant a requis la tenue d'une audience, essentiellement pour qu'il puisse s'expliquer sur son intégration en Suisse. Cet élément, comme on le verra ci-après, n'est toutefois pas déterminant pour le sort du litige. Il n'a dès lors pas été donné suite à la requête du recourant.</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4</w:t>
      </w:r>
    </w:p>
    <w:p>
      <w:r>
        <w:t>a) Aux termes de l'art. 42 al. 1 LEtr, le conjoint d'un ressortissant suisse ainsi que ses enfants célibataires de moins de 18 ans ont droit à l'octroi d'une autorisation de séjour et à la prolongation de sa durée de validité à condition de vivre en ménage commun avec lui. b) En l'espèce, les époux X.________ - Y.________ sont désormais divorcés. Le recourant ne peut dès lors plus invoquer cette disposition pour obtenir la prolongation de son autorisation de séjour.</w:t>
      </w:r>
    </w:p>
    <w:p>
      <w:r>
        <w:rPr>
          <w:b/>
        </w:rPr>
        <w:t>E. 5</w:t>
      </w:r>
    </w:p>
    <w:p>
      <w:r>
        <w:t>L'art. 50 al. 1 LEtr prévoit toutefois qu'après la dissolution de la famille, le droit du conjoint et des enfants à l'octroi d'une autorisation de séjour et à la prolongation de sa durée de validité subsiste lorsque l'union conjugale a duré au moins trois ans et que l'intégration est réussie (let. a) ou lorsque la poursuite du séjour en Suisse s'impose pour des raison personnelles majeures (let. b). Selon l'art. 50 al. 2 LEtr, les raisons personnelles majeures sont notamment données lorsque le conjoint est victime de violence conjugale et que la réintégration sociale dans le pays d'origine semble fortement compromise. Si la violence conjugale est invoquée, les autorités compétentes peuvent demander des preuves. Sont notamment considérés comme indices de violence conjugale: les certificats médicaux, les rapports de police, les plaintes pénales, les mesures au sens de l'art. 28b CC ou les jugements pénaux prononcés à ce sujet (art. 77 al. 5 et 6 let. a à e OASA). a) Le recourant se prévaut d'une union conjugale qui a duré plus de trois années. Il relève au surplus qu'il est parfaitement intégré: de langue maternelle française, vivant en Suisse depuis 2002, il a tissé un réseau social important; travailleur assidu, il a effectué un apprentissage dans la fondation qui l'emploie actuellement à 80%; au bénéfice d'un CFC depuis 2007, il a complété sa formation en obtenant un diplôme en vente, communication et négociation, suivi des cours d'informatique, en connaissances générales sur les "BPF"/hygiène/environnement pharmaceutiques et, dernièrement, en conseil fiduciaire (Junior financial advisor); enfin, il est titulaire d'une autorisation d'exercer l'activité de commerçant indépendant (pièces 8 à 11, 13, 18). En l'espèce, l'union conjugale qu'ont formé les époux X.________ - Y.________ a duré formellement du 12 octobre 2004 (date du mariage) au 4 juillet 2008 (date du divorce), soit pendant un peu plus de trois ans et demi. Selon la jurisprudence (arrêts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Ainsi comprise, l'union conjugale des époux X.________ - Y.________ a pris fin avec leur séparation en août 2007; elle a ainsi duré moins de trois ans. Le recourant ne peut dès lors pas se prévaloir de l'application de l'art. 50 al. 1 let. a LEtr, la condition de la durée de l'union conjugale n'étant pas réalisée; peu importe à cet égard que l'intégration de l'intéressé en Suisse soit réussie. b) Il reste à examiner si le recourant peut invoquer l'art. 50 al. 1 let. b LEtr, à savoir l'existence de raisons personnelles majeures imposant la poursuite de son séjour en Suisse. Lors de son audition le 20 décembre 2007 par la police, le recourant a indiqué avoir été victime de "violences physiques et psychiques" de la part de son ex-épouse. Il n'a toutefois pas répété ces allégations dans ses écritures. Quant à l'ex-épouse de l'intéressé, elle a simplement reconnu lors de son audition le 21 décembre 2007 par la police avoir crié après son mari et l'avoir giflé à une reprise. L'existence de violences conjugales paraît dans ces circonstances douteuse. Quoi qu'il en soit, cette question peut rester ouverte. Les violences conjugales ne justifient en effet pas à elles seules l'octroi d'une autorisation de séjour. Il faut encore que la réintégration sociale de l'intéressé dans son pays d'origine soit fortement compromise. Or, tel n'est pas le cas en l'espèce. Le recourant séjourne certes en Suisse depuis un peu plus de six ans. Cette durée, qui n'est pas négligeable, ne permet toutefois pas à elle seule d'admettre un profond enracinement en Suisse. Le recourant est en effet arrivé en Suisse à 21 ans, soit à un âge où le contexte socioculturel n’influence pas particulièrement rapidement l’individu. Par ailleurs, il n'y a pas d'attaches particulières hormis quelques amis, toute sa famille résidant au Cameroun. Dans ces conditions, la réintégration sociale du recourant, qui est jeune et en bonne santé, dans son pays d'origine ne semble guère compromise. Le recourant ne peut dès lors pas se prévaloir non plus de l'application de l'art. 50 al. 1 let. b LEtr. c) Au regard de ces éléments, l'autorité intimée n'a pas abusé de son pouvoir d'appréciation en refusant de prolonger l'autorisation de séjour du recourant.</w:t>
      </w:r>
    </w:p>
    <w:p>
      <w:r>
        <w:rPr>
          <w:b/>
        </w:rPr>
        <w:t>E. 6</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