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PE.2008.0499 vom 24. April 2009</w:t>
      </w:r>
    </w:p>
    <w:p>
      <w:r>
        <w:t>VD Tribunal cantonal, 2009-04-24, FR</w:t>
      </w:r>
    </w:p>
    <w:p>
      <w:r>
        <w:rPr>
          <w:b/>
        </w:rPr>
        <w:t xml:space="preserve">Quelle: </w:t>
      </w:r>
      <w:r>
        <w:t>https://mcp.opencaselaw.ch/entscheid/vd_omni_PE.2008.0499</w:t>
      </w:r>
    </w:p>
    <w:p>
      <w:r>
        <w:t>FR: VD_OMNI PE.2008.0499 du 24 avril 2009</w:t>
      </w:r>
    </w:p>
    <w:p>
      <w:r>
        <w:t>IT: VD_OMNI PE.2008.0499 del 24 aprile 2009</w:t>
      </w:r>
    </w:p>
    <w:p>
      <w:pPr>
        <w:pStyle w:val="Heading2"/>
      </w:pPr>
      <w:r>
        <w:t>Regeste</w:t>
      </w:r>
    </w:p>
    <w:p>
      <w:r>
        <w:t>X., Y. /Service de l'emploi, Service de la population (SPOP) | La recourante, ressortissante de Lituanie, ne peut se prévaloir des liens étroits qu'elle entretient depuis peu de temps avec son ami, établi à Lausanne et au bénéfice d'un permis B, pour obtenir une autorisation de séjour avec activité lucrative. Les fiançailles ou le concubinage ne permettent pas, sous réserve de circonstances très particulières, d'invoquer le respect de la vie privée et familiale garanti par l'art. 8 CEDH.</w:t>
      </w:r>
    </w:p>
    <w:p>
      <w:pPr>
        <w:pStyle w:val="Heading2"/>
      </w:pPr>
      <w:r>
        <w:t>Erwägungen</w:t>
      </w:r>
    </w:p>
    <w:p>
      <w:r>
        <w:rPr>
          <w:b/>
        </w:rPr>
        <w:t>E. 1</w:t>
      </w:r>
    </w:p>
    <w:p>
      <w:r>
        <w:t>a) Le protocole (d'extension) du 26 octobre 2004 (ci-après: protocole à l’ALCP; RO 2006 995) à l'accord du 21 juin 1999 entre la Confédération suisse, d'une part, et la Communauté européenne et ses Etats membres, d'autre part, sur la libre circulation des personnes (ALCP ou l’accord; RS 0.142.112.681), concernant la participation, en tant que parties contractantes, de la République tchèque, de la République d'Estonie, de la République de Chypre, de la République de Lettonie, de la République de Lituanie, de la République de Hongrie, de la République de Malte, de la République de Pologne, de la République de Slovénie et de la République slovaque, à la suite de leur adhésion à l'Union européenne, entré en vigueur par échanges de notes le 1 er avril 2006, prévoit une réglementation transitoire à l’égard des huit nouveaux Etats membres d’Europe centrale. Ce protocole a notamment ajouté la disposition transitoire 2a suivante à l’art. 10 ALCP : "La Suisse et la République tchèque, la République d'Estonie, la République de Lettonie, la République de Lituanie, la République de Hongrie, la République de Pologne, la République de Slovénie et la République slovaque peuvent maintenir, jusqu'au 31 mai 2007, à l'égard des travailleurs de l'une de ces parties contractantes employés sur leur territoire, les contrôles de la priorité du travailleur intégré dans le marché régulier du travail et des conditions de salaire et de travail applicables aux ressortissants de la partie contractante concernée. […] Avant le 31 mai 2007, le comité mixte examine le fonctionnement des mesures transitoires prévues dans le présent paragraphe sur la base d’un rapport élaboré par chacune des parties contractantes qui les applique. A l’issue de cet examen, et au plus tard le 31 mai 2007, la partie contractante qui a appliqué les mesures transitoires prévues dans le présent paragraphe et qui a notifié au comité mixte son intention de continuer à les appliquer peut continuer à le faire jusqu’au 31 mai 2009. En l’absence de notification, la période transitoire prend fin le 31 mai 2007. A la fin de la période transitoire définie dans le présent paragraphe, toutes les restrictions visées ci-dessus dans le présent paragraphe sont supprimées." Le 29 mai 2007, la Suisse a communiqué au Comité mixte Suisse-CE, institué par l’ALCP, qu’elle continuerait à appliquer jusqu’au 31 mai 2009 à l’égard de la République tchèque, la Pologne, la Slovaquie, la Slovénie, la Hongrie, l’Estonie, la Lettonie et la Lituanie, les mesures transitoires prévues à l’art. 10, par. 1a et 2a de l’accord, tel qu’amendé par le protocole à l’ALCP (RO 2008 573). b) Les directives de l'Office fédéral des migrations (ODM) sur l'introduction progressive de la libre circulation des personnes (version du 30 juin 2008) (ci-après : les directives) prévoient en particulier ce qui suit : " 5.2.1           Principe Conformément au protocole à l’ALCP, la Suisse peut maintenir jusqu’au 30 avril 2011 au plus tard les restrictions relatives au marché du travail en vigueur jusqu’ici pour les autorisations de courte durée et de séjour destinées aux ressortissants des nouveaux Etats membres de la CE, à l’exception de Malte et de Chypre .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23 LEtr) ne sont plus exigées. Toutefois, ce dernier point ne s’applique pas aux autorisations de courte durée de quatre mois au plus [...]. (…) 5.6.2             Contrôle de la priorité des travailleurs indigènes Art. 10 al. 2a ALCP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w:t>
      </w:r>
    </w:p>
    <w:p>
      <w:r>
        <w:rPr>
          <w:b/>
        </w:rPr>
        <w:t>E. 2</w:t>
      </w:r>
    </w:p>
    <w:p>
      <w:r>
        <w:t>a) Le tribunal a jugé qu'il ressort de ce qui précède que, selon les mesures transitoires, prolongées jusqu’au 31 mai 2009, prévues par le protocole à l'ALCP à l’égard des huit Etats d’Europe membres de l’Union européenne depuis 2004, les règles ordinaires prévues par la loi fédérale du 16 décembre 2005 sur les étrangers, entrée en vigueur le 1 er janvier 2008 (LEtr; RS 142.20) et par l’ordonnance fédérale du 24 octobre 2007 relative à l’admission, au séjour et à l’exercice d’une activité lucrative également entrée en vigueur le 1 er janvier 2008 (OASA; RS 142.20; v. art. 10 à 12 de l’ordonnance fédérale du 22 mai 2002 sur l’introduction de la libre circulation des personnes [OLCP, RS 142.203]) s’appliquent (PE.2008.0219 du 22 janvier 2009 et l'arrêt cité). b) Selon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 chiffre 5.6.2 des directives, l'ordre de priorité fixé à l’art. 21 al. 1 LEtr exige que l’employeur ait annoncé le poste vacant auprès des offices régionaux de placement et entrepris en outre toutes les démarches nécessaires (annonces dans la presse quotidienne et/ou spécialisée, recours aux médias électroniques ou à une agence de placement privée) pour trouver un travailleur disponible sur le marché suisse. Il n'est pas nécessaire qu'il démontre que des recherches ont été entreprises dans les anciens Etats membres de l'UE-CE. Il doit toutefois être en mesure de rendre crédible les efforts produits, en temps opportun et de manière appropriée, en vue d’attribuer le poste à des candidats disponibles en Suisse. Des contacts avec des ressortissants d'Etats tiers ne seront établis que lorsque les efforts entrepris n'ont pas abouti. Ces règles correspondent à ce que prévoyaient les art. 7 et 8 de l’ancienne ordonnance fédérale du 6 octobre 1986 limitant le nombre des étrangers (OLE), en vigueur jusqu'au 31 décembre 2007. c) Le tribunal a rappelé qu'il fallait se montrer strict quant à l'exigence des recherches faites sur le marché du travail de manière à donner la priorité aux demandeurs d'emploi indigènes. Il rejetait en principe les recours lorsqu'il apparaissait que c'était par pure convenance personnelle que le choix de l'employeur s'était porté sur un étranger et non sur des demandeurs d'emploi présentant des qualifications comparables (v. notamment PE.2006.0405 du 19 octobre 2006 consid. 2 et les arrêts cités). d) En l'espèce, l'employeur a expliqué que l'intéressée était venue se présenter personnellement et spontanément dans son établissement. Il n'avait pas fait d'autres recherches, par souci d'économie et de gain de temps, car son dossier était satisfaisant et parce qu'elle convenait à l'établissement. Ces arguments ne sauraient être retenus, car selon le principe de la priorité du marché indigène l'employeur ne peut se soustraire à l'obligation de faire des recherches sur le marché indigène du travail avant d'engager un(e) ressortissant(e) des huit nouveaux Etats de l'Union européenne, au nombre desquels figure la Lituanie, dont la recourante est ressortissante. A défaut de recherches, respectivement de la preuve des ces recherches, il ne pouvait prétendre à l'octroi de l'autorisation sollicitée. Les recourants invoquent également à l'appui de leur recours les liens étroits de l'employée avec un ressortissant italien établi à Lausanne et au bénéfice d'un permis B, avec qui elle vivrait en concubinage. Cet argument ne saurait être retenu dans le cadre du présent litige qui a pour objet une demande de main-d'œuvre étrangère. Si l'intéressée entend faire valoir les liens qui l'unissent à Z.________, elle doit présenter une demande d'autorisation de séjour et non une demande de main-d'œuvre étrangère. Par surabondance de droit, il est toutefois rappelé que les fiançailles ou le concubinage ne permettent pas, sous réserve de circonstances très particulières, d'invoquer le respect de la vie privée et familiale garanti par l'art. 8 CEDH. Le Tribunal fédéral a précisé que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la publication des bans du mariage (arrêt 2C_706/2008 du 13 octobre 2008 consid. 2.2 et les arrêts cit¿). La recourante étant arrivée en Suisse le 1 er septembre 2008 et n'y séjournant donc que depuis quelques mois, il apparaît comme très peu probable que le couple remplisse les conditions précitées. L'autorité intimée n'a donc pas abusé de son pouvoir d'appréciation en refusant le permis sollicité au motif que l'employeur n'avait pas fait de recherches pour trouver une employée sur le marché indigène.</w:t>
      </w:r>
    </w:p>
    <w:p>
      <w:r>
        <w:rPr>
          <w:b/>
        </w:rPr>
        <w:t>E. 3</w:t>
      </w:r>
    </w:p>
    <w:p>
      <w:r>
        <w:t>Les considérants qui précèdent conduisent au rejet du recours aux frais des recourants qui n'obtiennent pas gain de cause et qui n'ont pas droit à l'allocation de dépens (art. 49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