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PE.2008.0380 vom 24. Juni 2009</w:t>
      </w:r>
    </w:p>
    <w:p>
      <w:r>
        <w:t>VD Tribunal cantonal, 2009-06-24, FR</w:t>
      </w:r>
    </w:p>
    <w:p>
      <w:r>
        <w:rPr>
          <w:b/>
        </w:rPr>
        <w:t xml:space="preserve">Quelle: </w:t>
      </w:r>
      <w:r>
        <w:t>https://mcp.opencaselaw.ch/entscheid/vd_omni_PE.2008.0380</w:t>
      </w:r>
    </w:p>
    <w:p>
      <w:r>
        <w:t>FR: VD_OMNI PE.2008.0380 du 24 juin 2009</w:t>
      </w:r>
    </w:p>
    <w:p>
      <w:r>
        <w:t>IT: VD_OMNI PE.2008.0380 del 24 giugno 2009</w:t>
      </w:r>
    </w:p>
    <w:p>
      <w:pPr>
        <w:pStyle w:val="Heading2"/>
      </w:pPr>
      <w:r>
        <w:t>Regeste</w:t>
      </w:r>
    </w:p>
    <w:p>
      <w:r>
        <w:t>X /Service de la population (SPOP) | Nouvelle demande de réexamen, déclarée irrecevable et rejetée par le SPOP, à défaut de faits nouveaux survenus depuis le prononcé de la décision litigieuse. Rejet du recours.</w:t>
      </w:r>
    </w:p>
    <w:p>
      <w:pPr>
        <w:pStyle w:val="Heading2"/>
      </w:pPr>
      <w:r>
        <w:t>Erwägungen</w:t>
      </w:r>
    </w:p>
    <w:p>
      <w:r>
        <w:rPr>
          <w:b/>
        </w:rPr>
        <w:t>E. 1</w:t>
      </w:r>
    </w:p>
    <w:p>
      <w:r>
        <w:t>Déposé en temps utile et selon les formes prescrites par la loi, le recours est formellement recevable, de sorte qu’il y a lieu d’entrer en matière sur le fond.</w:t>
      </w:r>
    </w:p>
    <w:p>
      <w:r>
        <w:rPr>
          <w:b/>
        </w:rPr>
        <w:t>E. 2</w:t>
      </w:r>
    </w:p>
    <w:p>
      <w:r>
        <w:t>Le recourant requiert la tenue d'une audience.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il n'a pas été donné suite à la requête du recourant, car les éléments sur lesquels il souhaitait s'expliquer, à savoir sa situation personnelle et plus particulièrement son intégration socio-professionnelle, ne sont pas déterminants pour le sort du litige, comme on le verra ci-après.</w:t>
      </w:r>
    </w:p>
    <w:p>
      <w:r>
        <w:rPr>
          <w:b/>
        </w:rPr>
        <w:t>E. 3</w:t>
      </w:r>
    </w:p>
    <w:p>
      <w:r>
        <w:t>a) Le Tribunal fédéral a déduit de l'art. 4 aCst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b) La loi vaudoise du 28 octobre 2008 sur la procédure administrative (LPA-VD; RSV 173.36), entrée en vigueur le 1 er janvier 2009, a codifié cette jurisprudence à son art. 64, dont la teneur est la suivante: Art. 64 – Principes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w:t>
      </w:r>
    </w:p>
    <w:p>
      <w:r>
        <w:rPr>
          <w:b/>
        </w:rPr>
        <w:t>E. 4</w:t>
      </w:r>
    </w:p>
    <w:p>
      <w:r>
        <w:t>En l'espèce, le recourant se prévaut de la longue durée de son séjour en Suisse, de son intégration socio-professionnelle, ainsi que de la présence en Suisse de ses deux filles. Ces éléments ne sont pas nouveaux. Ils ont déjà été examinés par l'autorité intimée dans sa décision du 25 avril 2005 et par le Tribunal administratif dans son arrêt du 28 avril 2006. Le seul écoulement du temps ne constitue pas un motif justifiant le réexamen (ATF 2C_38/2008 du 2 mai 2008). Par ailleurs, le recourant ne saurait tirer aucun droit de la présence en Suisse de ses filles, dans la mesure où celles-ci y résident illégalement. Le recourant invoque également la présence en Suisse de son fils, né d'un précédent mariage le 26 juillet 1993. Il ne s'agit toutefois pas non plus d'un fait nouveau dont le recourant n'avait pas connaissance lors de la décision initiale de l'autorité intimée. Le Tribunal administratif l'avait déjà jugé dans son arrêt du 27 octobre 2006 (voir passage reproduit ci-dessus dans la partie "faits" sous chiffre B). C'est dès lors à bon droit que l'autorité intimée a déclaré irrecevable la demande de réexamen du recourant.</w:t>
      </w:r>
    </w:p>
    <w:p>
      <w:r>
        <w:rPr>
          <w:b/>
        </w:rPr>
        <w:t>E. 5</w:t>
      </w:r>
    </w:p>
    <w:p>
      <w:r>
        <w:t>Les considérants qui précèdent conduisent au rejet du recours et à la confirmation de la décision attaquée. Le recourant, qui succombe, supportera les frais de justice, sans pouvoir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