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PE.2008.0362 vom 27. Februar 2009</w:t>
      </w:r>
    </w:p>
    <w:p>
      <w:r>
        <w:t>VD Tribunal cantonal, 2009-02-27, FR</w:t>
      </w:r>
    </w:p>
    <w:p>
      <w:r>
        <w:rPr>
          <w:b/>
        </w:rPr>
        <w:t xml:space="preserve">Quelle: </w:t>
      </w:r>
      <w:r>
        <w:t>https://mcp.opencaselaw.ch/entscheid/vd_omni_PE.2008.0362</w:t>
      </w:r>
    </w:p>
    <w:p>
      <w:r>
        <w:t>FR: VD_OMNI PE.2008.0362 du 27 février 2009</w:t>
      </w:r>
    </w:p>
    <w:p>
      <w:r>
        <w:t>IT: VD_OMNI PE.2008.0362 del 27 febbraio 2009</w:t>
      </w:r>
    </w:p>
    <w:p>
      <w:pPr>
        <w:pStyle w:val="Heading2"/>
      </w:pPr>
      <w:r>
        <w:t>Regeste</w:t>
      </w:r>
    </w:p>
    <w:p>
      <w:r>
        <w:t>X c/Service de la population (SPOP) | Confirmation du refus de délivrer un tire de séjour sur la base de l'ALCP à un ressortissant originaire d'ex-Yougoslavie qui s'est prévalu d'un faux passeport hollandais. Par ailleurs, il ne peut prétendre à l'admission d'un cas de rigueur au sens de l'art. 30 al. 1 let. b LEtr.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La LEtr,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Elle s'applique aux demandes déposées après cette date, de sorte que la demande litigieuse, déposée le 3 mars 2008, doit être examinée à l’aune de cette loi.</w:t>
      </w:r>
    </w:p>
    <w:p>
      <w:r>
        <w:rPr>
          <w:b/>
        </w:rPr>
        <w:t>E. 3</w:t>
      </w:r>
    </w:p>
    <w:p>
      <w:r>
        <w:t>L'accord entre la Confédération suisse, d'une part, et la Communauté européenne et ses Etats membres, d'autre part, sur la libre circulation des personnes conclu le 21 juin 1999 et entré en vigueur le 1 er juin 2002 (ALCP; RS 0.142.112.681) énonce à son art. 1 er lettre a que " l'objectif de cet accord, en faveur des ressortissants des Etats membres de la Communauté européenne et de la Suisse est d'accorder un droit d'entrée, de séjour, d'accès à une activité économique salariée, d'établissement en tant qu'indépendant et le droit de demeurer sur le territoire des parties contractantes ".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En l'espèce, il est établi que le recourant, originaire d'ex-Yougoslavie, s'est prévalu d'un faux passeport hollandais, ce qu'il a d'ailleurs lui-même admis. Il n'est donc pas un ressortissant d'un Etat membre de la Communauté européenne, si bien qu'il ne peut prétendre à la délivrance d'un titre de séjour CE/AELE. C'est donc à juste titre que la délivrance d'un titre de séjour sur la base de l'ALCP lui a été refusée.</w:t>
      </w:r>
    </w:p>
    <w:p>
      <w:r>
        <w:rPr>
          <w:b/>
        </w:rPr>
        <w:t>E. 4</w:t>
      </w:r>
    </w:p>
    <w:p>
      <w:r>
        <w:t>Le recourant semble se prévaloir de l'art. 30 al. 1 let. b LEtr, en invoquant le fait qu'il est en Suisse uniquement pour travailler et assurer la subsistance de ses deux enfants et de son épouse demeurés au Kosovo. Par ailleurs, il aurait des dettes pour un montant de 80'000 €, appréciait la Suisse et était prêt à fournir les efforts nécessaires en vue de son intégration. L'art. 30 al. 1 let. b LEtr, s’apparente à l’art. 13 let. f de l'OLE (PE. 2008.0243 du 23 janvier 2009; PE.2008.0141 du 30 mai 2008; PE.2008.0093 du 16 avril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En l'espèce, le recourant s'est toujours annoncé auprès des autorités de police des étrangers comme étant célibataire et ce n'est que dans son acte de recours qu'il a prétendu être marié et père de deux enfants, sans toutefois l'étayer par pièce. Peu importe en l'espèce sa situation familiale effective pour apprécier s'il se trouve ou non dans un cas d'application de l'art. 30 al. 1 let. b LEtr: le recourant est en Suisse depuis tout juste une année, il est jeune, en bonne santé et n'a pas d'attaches particulières en Suisse, sa famille résidant au Kosovo. Aide-monteur, il n'a par ailleurs pas de qualification professionnelle particulière. Le but de son séjour est uniquement motivé par des motifs économiques, ce dont le recourant convient d'ailleurs de lui-même. Il ne peut dès lors prétendre à l'admission d'un cas de rigueur au sens de l'art. 30 al. 1 let. b LEtr.</w:t>
      </w:r>
    </w:p>
    <w:p>
      <w:r>
        <w:rPr>
          <w:b/>
        </w:rPr>
        <w:t>E. 5</w:t>
      </w:r>
    </w:p>
    <w:p>
      <w:r>
        <w:t>Les considérants qui précèdent conduisent au rejet du recours aux frais du recourant (art. 49 LPA-VD) et à la confirmation de la décision entreprise.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