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PE.2008.0333 vom 26. Mai 2009</w:t>
      </w:r>
    </w:p>
    <w:p>
      <w:r>
        <w:t>VD Tribunal cantonal, 2009-05-26, FR</w:t>
      </w:r>
    </w:p>
    <w:p>
      <w:r>
        <w:rPr>
          <w:b/>
        </w:rPr>
        <w:t xml:space="preserve">Quelle: </w:t>
      </w:r>
      <w:r>
        <w:t>https://mcp.opencaselaw.ch/entscheid/vd_omni_PE.2008.0333</w:t>
      </w:r>
    </w:p>
    <w:p>
      <w:r>
        <w:t>FR: VD_OMNI PE.2008.0333 du 26 mai 2009</w:t>
      </w:r>
    </w:p>
    <w:p>
      <w:r>
        <w:t>IT: VD_OMNI PE.2008.0333 del 26 maggio 2009</w:t>
      </w:r>
    </w:p>
    <w:p>
      <w:pPr>
        <w:pStyle w:val="Heading2"/>
      </w:pPr>
      <w:r>
        <w:t>Regeste</w:t>
      </w:r>
    </w:p>
    <w:p>
      <w:r>
        <w:t>X /Service de la population (SPOP) | Confirmation du refus de délivrer une autorisation de séjour à un ressortissant guinéen dont l'épouse et l'enfant sont de nationalité suisse. Condamné pour infraction grave à la LStup à une peine de privative de liberté de 30 mois assortie d'un sursis portant sur 15 mois, le recourant a passé une importante partie de son séjour en Suisse en prison. Il s'est présenté sous une fausse identité à son arrivée en Suisse et n'a pas montré de signes d'une intégration réussie, n'interrompant ses activités délictueuses qu'en suite de son arrestation. L'intérêt public à son éloignement l'emporte sur ses intérêts privés, dès lors qu'il n'a vécu que peu de temps auprès de son épouse et de son fils (mariage en décembre 2006, incarcération de mars 2007 à juin 2008, naissance de l'enfant en décembre 2007). Le fait que l'épouse souffre d'une infection VIH n'y change rien, dans la mesure où son état ne nécessite pas de traitement particulier. Pas de reconnaissance d'un cas d'extrême gravité. Recours au TF rejeté (ATF 2C_418/2009 du 20 novembre 2009).</w:t>
      </w:r>
    </w:p>
    <w:p>
      <w:pPr>
        <w:pStyle w:val="Heading2"/>
      </w:pPr>
      <w:r>
        <w:t>Erwägungen</w:t>
      </w:r>
    </w:p>
    <w:p>
      <w:r>
        <w:rPr>
          <w:b/>
        </w:rPr>
        <w:t>E. 1</w:t>
      </w:r>
    </w:p>
    <w:p>
      <w:r>
        <w:t>En dehors des cas où une disposition légale prévoit expressément le contrôle de l’opportunité d’une décision, la Cour de droit administratif et public n’exerce qu’un contrôle en légalité, c’est-à-dire qu’elle examine si la décision entreprise est contraire à une disposition légale ou réglementaire expresse, ou relève d’un excès ou d’un abus du pouvoir d’appréciation (art. 98 de la loi cantonale du 28 octobre 2008 sur la procédure administrative, LPA-VD, RSV 173.36). La loi fédérale du 16 décembre 2005 sur les étrangers (LEtr, RS 142.20) ne prévoyant aucune disposition étendant le pouvoir de contrôle de l’autorité de recours à l’inopportunité, ce grief ne saurait donc être examiné par la cour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 cf. ATF 116 V 307, consid. 2 ).</w:t>
      </w:r>
    </w:p>
    <w:p>
      <w:r>
        <w:rPr>
          <w:b/>
        </w:rPr>
        <w:t>E. 2</w:t>
      </w:r>
    </w:p>
    <w:p>
      <w:r>
        <w:t>a) Selon l'art. 42 LEtr, le conjoint d'un ressortissant suisse a droit à l'octroi d'une autorisation de séjour et à la prolongation de sa durée de validité à condition de vivre en ménage commun avec lui. L'art. 51 LEtr prévoit que le droit de l'art. 42 LEtr s'éteint notamment s'il existe des motifs de révocation au sens de l'art. 63 LEtr, c'est-à-dire si les conditions visées à l'art. 62, let. a ou b, sont remplies. Aux termes de l’art. 62 LEtr, l’autorité compétente peut révoquer une autorisation, à l’exception d’une autorisation d’établissement, notamment lorsque l'étranger a fait de fausses déclarations ou a dissimulé des faits essentiels durant la procédure d'autorisation (let. a) ou s'il a été condamné à une peine privative de liberté de longue durée (let. b). Par ailleurs, l’art. 96 LEtr dispose que les autorités compétentes tiennent compte, en exerçant leur pouvoir d’appréciation, des intérêts publics, de la situation personnelle de l’étranger, ainsi que de son degré d’intégration, la révocation d’une autorisation devant par ailleurs respecter le principe de la proportionnalité dans les cas particuliers, notamment en renonçant à la révocation lorsque la peine privative de liberté était de courte durée (message du Conseil fédéral, FF 2002 p. 3563). b) Les motifs de révocation de l’art. 62 LEtr correspondent aux motifs d’expulsion prévus par l’art. 10 LSEE, en vigueur jusqu’au 31 décembre 2007. La jurisprudence développée sous l’empire de la LSEE peut donc s’appliquer à l’art. 62 LEtr. c) Le refus d’octroyer une autorisation de séjour au conjoint étranger d’un ressortissant suisse sur la base de l’une des causes énoncées à l’art. 10 LSEE suppose une pesée des intérêts en présence (cf. ATF 120 Ib 6 consid 4a p. 12/13) et l’examen de la proportionnalité de la mesure (ATF 116 Ib 113 consid. 3c p. 117). Pour apprécier ce qui est équitable, l’autorité tiendra notamment compte de la gravité de la faute commise par l’étranger, de la durée de son séjour en Suisse et du préjudice que lui-même et ses proches auraient à subir du fait de l’expulsion, respectivement du refus d’accorder ou de prolonger une autorisation de séjour ou d’établissement (cf. art. 16 al. 3 RSEE ; ATF 130 II 176 consid. 3.3.4 p. 182). Quand le refus d’octroyer ou de prolonger une autorisation de séjour se fonde sur la commission d’infractions, la peine infligée par le juge pénal est le premier critère à prendre en considération pour évaluer la gravité de la faute et procéder à la pesée des intérêts en présence (cf. ATF 129 II 215 consid. 3.1 p. 216 ; 120 Ib 6 consid. 4c p. 15s.). U ne condamnation à deux ans de privation de liberté constitue la limite à partir de laquelle, en général, il y a lieu de refuser l’autorisation de séjour lorsqu’il s’agit d’une demande initiale ou d’une requête de prolongation déposée après un séjour de courte durée (ATF 130 II 176, consid. 4.1). Ce principe vaut même lorsqu'on ne peut pas - ou difficilement - exiger de l'épouse suisse de l'étranger qu'elle quitte la Suisse, ce qui empêche de fait les conjoints de vivre ensemble d'une manière ininterrompue (cf. ATF 130 II 176 consid. 4.1 p. 185 ; 120 Ib 6 consid. 4b p. 14 se référant à l'arrêt Reneja, ATF 110 Ib 201 ). Cette référence à une quotité de peine de détention de deux ans n’a cependant qu’un caractère indicatif (arrêt TA PE.2005.0616 du 1 er mai 2006). Les circonstances particulières de l’infraction, la bonne intégration de l’intéressé et le développement positif de sa personnalité depuis l’exécution de la peine peuvent cependant justifier d’octroyer ou de renouveler son autorisation de séjour même si la limite des deux ans est dépassée. En outre, ce principe ne peut être appliqué sans autre discussion, lorsque la durée du séjour en Suisse est longue (ATF 2C_152/2007 du 22 avril 2008 consid. 4.3 et les réf. citées). Pour procéder à la pesée des intérêts, l'autorité de police des étrangers s'inspire de considérations différentes de celles qui guident l'autorité pénale. Ainsi, la décision du juge pénal d'ordonner ou non l'expulsion d'un condamné étranger en application de l'art. 55 CP, ou de l'ordonner en l'assortissant d'un sursis, respectivement la décision que prend l'autorité compétente de suspendre l'exécution de cette peine accessoire, est dictée, au premier chef, par des considérations tirées des perspectives de réinsertion sociale de l'intéressé. Or, pour l'autorité de police des étrangers, c'est la préoccupation de l'ordre et de la sécurité publics qui est prépondérante dans la pesée des intérêts. En matière d'expulsion, son appréciation peut donc se révéler plus rigoureuse que celle de l'autorité pénale (cf. ATF 130 II 176 consid. 4.3.3 p. 188, 493 consid. 4.2 p. 500 ; 129 II 215 consid. 3.2 et 7.4 p. 216/217 et 223 et les références citées). La protection de la collectivité publique face au développement du marché de la drogue constitue incontestablement un intérêt public important justifiant l'éloignement de Suisse d'un étranger qui s'est rendu coupable d'infraction grave à la loi fédérale sur les stupéfiants. Les étrangers qui sont mêlés au commerce des stupéfiants doivent donc s'attendre à faire l'objet de mesures d'éloignement (ATF 2A.424/2001 du 29 janvier 2002, consid. 4a). Il s'agit d'un domaine où la jurisprudence se montre particulièrement rigoureuse (cf. ATF 122 II 433 consid. 2c p. 436). d) Pour ce qui est du préjudice du requérant et de ses proches en cas de non-octroi de l'autorisation de séjour, il faut constater que l'étranger disposant d'un droit de visite sur son enfant habilité à résider en Suisse peut en principe exercer ce droit même s'il vit à l'étranger, au besoin en aménageant ses modalités quant à la fréquence et à la durée.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(ATF 120 Ib 1 consid. 3c p. 5, 22 consid. 4a p. 25; arrêt 2C_723/2008 du 24 novembre 2008 et les références citées). Un comportement est irréprochable s'il n'existe aucun motif en droit des étrangers d'éloigner ce parent ou de le maintenir à l'étranger, en d'autres termes, s'il ne s'est rendu coupable d'aucun comportement réprimé par le droit des étrangers ou le droit pénal. Il faut en outre considérer qu'il existe un lien affectif particulièrement fort lorsque le droit de visite est organisé de manière large et qu'il est exercé de manière régulière, spontanée et sans encombre (arrêt 2A.550/2006 du 7 novembre 2006, consid. 3.1 et les références citées). e) Quant au droit au respect de la vie privée et familiale garanti par l'art. 8 par. 1 CEDH, il ne fait pas obstacle à ce qu'une mesure d’éloignement soit prononcée sur la base de l'art. 10 LSEE. Pour autant qu'elle soit conforme aux principes ci-avant exposés, en particulier celui de la proportionnalité, une telle mesure constitue en effet une ingérence nécessaire à la défense de l'ordre public et à la prévention des infractions pénales au sens de l'art. 8 par. 2 CEDH (cf. ATF 125 II 521 consid.</w:t>
      </w:r>
    </w:p>
    <w:p>
      <w:r>
        <w:rPr>
          <w:b/>
        </w:rPr>
        <w:t>E. 5</w:t>
      </w:r>
    </w:p>
    <w:p>
      <w:r>
        <w:t>Le recours doit ainsi être rejeté et la décision attaquée confirmée. Succombant, le recourant doit supporter les frais judiciaires et n'a pas droit à des dépens (art. 49 de la loi du 28 octobre 2008 sur la procédure administrative, LPA-VD, RSV 173.36). Il appartiendra au SPOP de fixer un nouveau délai de départ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