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PE.2008.0219 vom 22. Januar 2009</w:t>
      </w:r>
    </w:p>
    <w:p>
      <w:r>
        <w:t>VD Tribunal cantonal, 2009-01-22, FR</w:t>
      </w:r>
    </w:p>
    <w:p>
      <w:r>
        <w:rPr>
          <w:b/>
        </w:rPr>
        <w:t xml:space="preserve">Quelle: </w:t>
      </w:r>
      <w:r>
        <w:t>https://mcp.opencaselaw.ch/entscheid/vd_omni_PE.2008.0219</w:t>
      </w:r>
    </w:p>
    <w:p>
      <w:r>
        <w:t>FR: VD_OMNI PE.2008.0219 du 22 janvier 2009</w:t>
      </w:r>
    </w:p>
    <w:p>
      <w:r>
        <w:t>IT: VD_OMNI PE.2008.0219 del 22 gennaio 2009</w:t>
      </w:r>
    </w:p>
    <w:p>
      <w:pPr>
        <w:pStyle w:val="Heading2"/>
      </w:pPr>
      <w:r>
        <w:t>Regeste</w:t>
      </w:r>
    </w:p>
    <w:p>
      <w:r>
        <w:t>c/Service de l'emploi, Service de la population (SPOP) | Exception à la priorité des travailleurs indigènes refusée et demande d'autorisation de travail rejetée pour une ressortissante polonaise en raison des recherches inusffisantes effecutées par l'employeur sur le marché suisse.</w:t>
      </w:r>
    </w:p>
    <w:p>
      <w:pPr>
        <w:pStyle w:val="Heading2"/>
      </w:pPr>
      <w:r>
        <w:t>Erwägungen</w:t>
      </w:r>
    </w:p>
    <w:p>
      <w:r>
        <w:rPr>
          <w:b/>
        </w:rPr>
        <w:t>E. 1</w:t>
      </w:r>
    </w:p>
    <w:p>
      <w:r>
        <w:t>a) Le protocole (d'extension) du 26 octobre 2004 (ci-après: protocole à l’ALCP; RO 2006 995) à l'accord du 21 juin 1999 entre la Confédération suisse, d'une part, et la Communauté européenne et ses Etats membres, d'autre part, sur la libre circulation des personnes (ALCP ou l’accord; RS 0.142.112.681),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l'Union européenne, entré en vigueur par échanges de notes le 1 er avril 2006, prévoit une réglementation transitoire à l’égard des huit nouveaux Etats membres d’Europe centrale. Ce protocole a notamment ajouté la disposition transitoire 2a suivante à l’art. 10 ALCP :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employés sur leur territoire, les contrôles de la priorité du travailleur intégré dans le marché régulier du travail et des conditions de salaire et de travail applicables aux ressortissants de la partie contractante concernée. […] Avant le 31 mai 2007, le comité mixte examine le fonctionnement des mesures transitoires prévues dans le présent paragraphe sur la base d’un rapport élaboré par chacune des parties contractantes qui les applique. A l’issue de cet examen, et au plus tard le 31 mai 2007, la partie contractante qui a appliqué les mesures transitoires prévues dans le présent paragraphe et qui a notifié au comité mixte son intention de continuer à les appliquer peut continuer à le faire jusqu’au 31 mai 2009. En l’absence de notification, la période transitoire prend fin le 31 mai 2007. A la fin de la période transitoire définie dans le présent paragraphe, toutes les restrictions visées ci-dessus dans le présent paragraphe sont supprimées." Le 29 mai 2007, la Suisse a communiqué au Comité mixte Suisse-CE, institué par l’ALCP, qu’elle continuerait à appliquer jusqu’au 31 mai 2009 à l’égard de la République tchèque, la Pologne, la Slovaquie, la Slovénie, la Hongrie, l’Estonie, la Lettonie et la Lituanie, les mesures transitoires prévues à l’art. 10, par. 1a et 2a de l’accord, tel qu’amendé par le protocole à l’ALCP (RO 2008 573). b) Les directives et commentaires concernant l'introduction progressive de la libre circulation des personnes entre la Confédération suisse et la Communauté européenne ainsi que ses vingt-cinq Etats membres, et entre la Confédération suisse et les Etats membres de l'AELE, la Norvège, l'Islande et la Principauté de Liechtenstein (Directives OLCP; état au 1 er juin 2007) précisent en particulier ce qui suit : "5.2.1     Principe Conformément au protocole à l’ALCP, la Suisse peut maintenir jusqu’au 30 avril 2011 au plus tard les restrictions relatives au marché du travail en vigueur jusqu’ici pour les autorisations de courte durée et de séjour destinées aux ressortissants des nouveaux Etats membres de la CE, à l’exception de Malte et de Chypre .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 [...] 5.5.2       Contrôle de la priorité des travailleurs indigènes Art. 10 al. 2a ALCP Lors de la décision préalable relative au marché du travail (ch.4.5),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w:t>
      </w:r>
    </w:p>
    <w:p>
      <w:r>
        <w:rPr>
          <w:b/>
        </w:rPr>
        <w:t>E. 2</w:t>
      </w:r>
    </w:p>
    <w:p>
      <w:r>
        <w:t>a) Comme l'a déjà jugé le tribunal de céans (qui a succédé au Tribunal administratif, arrêt PE.2007.0237 du 10 mars 2008), il ressort de ce qui précède que, selon les mesures transitoires, prolongées jusqu’au 31 mai 2009, prévues par le protocole à l'ALCP à l’égard des huit Etats d’Europe centrale membres de l’Union européenne depuis 2004, les règles ordinaires prévues par la loi fédérale du 16 décembre 2005 sur les étrangers, entrée en vigueur le 1 er janvier 2008 (LEtr, RS 142.20) et par l’ordonnance fédérale du 24 octobre 2007 relative à l’admission, au séjour et à l’exercice d’une activité lucrative également entrée en vigueur le 1 er janvier 2008 (OASA, RS 142.20,cf. art. 10 à 12 de l’ordonnance fédérale du 22 mai 2002 sur l’introduction de la libre circulation des personnes, OLCP, RS 142.203) s’appliquent. b)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 chiffre 4.3.2 des directives édictées par l’Office fédéral des migrations (ODM), dans leur teneur du 1 er janvier 2008, l’ordre de priorité fixé à l’art. 21 al. 1 LEtr exige que l’employeur ait annoncé le poste vacant auprès des offices régionaux de placement et entrepris en outre toutes les démarches nécessaires (annonces dans les quotidiens et la presse spécialisée, recours aux médias électroniques et aux agences privées de placement) pour trouver un travailleur disponible sur le marché suisse. L’employeur doit être en mesure de rendre crédible les efforts produits, en temps opportun et de manière appropriée, en vue d’attribuer le poste à des candidats disponibles en Suisse ou dans les Etats de l’UE/AELE. Des contacts avec des ressortissants d’Etats tiers ne seront établis que lorsque les efforts entrepris n’ont pas abouti. Ces règles correspondent à ce que prévoyaient les art. 7 et 8 de l’ancienne ordonnance fédérale du 6 octobre 1986 limitant le nombre des étrangers (OLE), abrogée dès le 1 er janvier 2008. Dans sa jurisprudence constante, la CDAP a considéré qu'il fallait se montrer strict quant à l'exigence des recherches faites sur le marché du travail de manière à donner la priorité aux demandeurs d'emploi indigènes. Elle rejette en principe les recours lorsqu'il apparaît que c'est par pure convenance personnelle que le choix de l'employeur s'est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(arrêt PE.2006.0692 du 29 janvier 2007). La CDAP s'est prononcée à plusieurs reprises sur les exigences de recherches. Dans le cas d'une ressortissante polonaise, proposée pour un poste d'aide de cuisine, elle a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(arrêt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(arrêt PE.2006.0439 du 15 novembre 2006 consid. 3b). De même, la réponse à sept annonces spontanées de travailleurs sur Internet, la passation d'une unique annonce sur un site et le recours ponctuel a une agence de placement n'ont pas été jugés suffisants (arrêt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(arrêts PE.2006.0625 du 7 mai 2007; PE.2004.0352 du 10 novembre 2004 consid. 6a et les arrêts cités).</w:t>
      </w:r>
    </w:p>
    <w:p>
      <w:r>
        <w:rPr>
          <w:b/>
        </w:rPr>
        <w:t>E. 3</w:t>
      </w:r>
    </w:p>
    <w:p>
      <w:r>
        <w:t>En l’espèce, la recourante fait tout d’abord valoir que le poste en cause implique de la part du candidat une envie très forte de travailler sur les chantiers afin d’effectuer des travaux de peinture avec un goût artistique. Or, les personnes qui se sont présentées ne voulaient, selon elle, ni effectuer des déplacements, ni travailler à plein temps ni travailler sur les chantiers. Ces allégations, au demeurant très sommaires, tendant à prouver que l'ensemble des candidats ne pouvaient ou ne voulaient en définitive pas être engagés par l’intéressée n'emportent pas la conviction du tribunal. La Cour observe par ailleurs que la première – et d’ailleurs la seule - annonce dans la presse remonte au mois de mars 2008, soit peu de temps avant le dépôt de la demande de prise d’emploi en faveur de Y._____________. Cette annonce, pratiquement contemporaine à la requête de main d’œuvre étrangère, n’est dès lors pas décisive dans la mesure où l'employeur doit prospecter suffisamment tôt le marché indigène du travail avant le dépôt de la demande de main-d'œuvre étrangère (cf. dans ce sens, TA arrêt PE.2007.0270 du 6 septembre 2007). De plus, X._____________ n’a jamais annoncé le poste vacant à l’ORP ni même pris contact avec une quelconque agence de placement. Dans ces conditions, on ne peut pas raisonnablement estimer que la seule mesure entreprise par l’intermédiaire de la presse constitue des recherches multiples et intensives au sens de la jurisprudence susmentionné, qui suffiraient à faire exception au principe de la priorité du travailleur indigène. L'autorité intimée n'a dès lors pas abusé de son pouvoir d'appréciation en considérant que les recherches accomplies étaient, en l'état, insuffisantes. c) Il résulte de ce qui précède que le recours doit être rejeté pour ce motif déjà, de sorte qu’il n’y a pas lieu d’examiner si le grief de l’autorité intimée relatif à l’insuffisance du salaire proposé par rapport à ceux en usage dans la profession (art. 22 LEtr) est fondé. 4.                Les considérants qui précèdent conduisent au rejet du recours aux frais de la recourante qui succombe (art. 49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