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PE.2008.0215 vom 5. November 2008</w:t>
      </w:r>
    </w:p>
    <w:p>
      <w:r>
        <w:t>VD Tribunal cantonal, 2008-11-05, FR</w:t>
      </w:r>
    </w:p>
    <w:p>
      <w:r>
        <w:rPr>
          <w:b/>
        </w:rPr>
        <w:t xml:space="preserve">Quelle: </w:t>
      </w:r>
      <w:r>
        <w:t>https://mcp.opencaselaw.ch/entscheid/vd_omni_PE.2008.0215</w:t>
      </w:r>
    </w:p>
    <w:p>
      <w:r>
        <w:t>FR: VD_OMNI PE.2008.0215 du 5 novembre 2008</w:t>
      </w:r>
    </w:p>
    <w:p>
      <w:r>
        <w:t>IT: VD_OMNI PE.2008.0215 del 5 novembre 2008</w:t>
      </w:r>
    </w:p>
    <w:p>
      <w:pPr>
        <w:pStyle w:val="Heading2"/>
      </w:pPr>
      <w:r>
        <w:t>Regeste</w:t>
      </w:r>
    </w:p>
    <w:p>
      <w:r>
        <w:t>AX.________, BX.________ c/Service de la population (SPOP) | Confirmation du refus de l'octroi de l'autorisation de séjour dans le cas de deux Equatoriens, entrés en Suisse avec leur mère en 2003, alors qu'ils avaient quinze et quatorze ans. On ne se trouve en l'occurrence pas dans un cas de rigueur. Les demandeurs, devenus majeurs entretemps, peuvent mener leur vie dans leur pays d'origine. Pas d'atteinte à l'art. 8 CEDH du fait que la mère et le frère cadet pourront rester en Suisse.</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Les demandes déposées, comme en l¿espèce, avant l¿entrée en vigueur de la LEtr sont régies par l¿ancien droit (art. 126 al. 1 LEtr). La LSEE et l¿OLE s¿appliquent. Bien que les recourants se soient prévalus du nouveau droit à l¿appui de leur recours, ils ont eu l¿occasion de se déterminer sur l¿application de l¿ancien, dans le cadre de leur réplique.</w:t>
      </w:r>
    </w:p>
    <w:p>
      <w:r>
        <w:rPr>
          <w:b/>
        </w:rPr>
        <w:t>E. 2</w:t>
      </w:r>
    </w:p>
    <w:p>
      <w:r>
        <w:t>a) Aux termes de l¿art. 13 let. f OLE, les étrangers qui obtiennent une autorisation de séjour dans un cas personnel d¿extrême gravité ou en raison de considérations de politique générale ne sont pas comptés dans les nombres maximums prévus pour les étrangers qui exercent une activité lucrative en Suisse.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pour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2007/45 consid. 4.2; 2007/44 consid. 4.2; 2007/16 consid. 5.2). b) Les recourants sont entrés sans autorisation en Suisse avec leur mère, alors qu¿ils étaient âgés de quinze et quatorze ans. Il importe peu à cet égard que la violation aux règles formelles de la LSEE ne puissent leur être imputés, à raison de leur âge à l¿époque des faits. L¿essentiel est que les recourants n¿ont jamais été autorisés à séjourner en Suisse. Ils ne peuvent pour le surplus déduire un tel droit d'une norme particulière du droit fédéral ou d'un traité international (ATF 130 II 281 consid. 2.1 p. 284, 493 consid. 3.1 p. 497/498; 128 II 145 consid. 1.1.1 p. 148, et les arrêts cités). c) Les recourants se prévalent de leur intégration exemplaire. Ils occupent chacun un emploi stable, dans lequel ils donnent toute satisfaction. Leur comportement est sans reproche et ils ont été appelés à effectuer leur service militaire. Ces faits ne constituent pas des motifs d¿extrême rigueur au sens de l¿art. 13 let. f OLE, au sens de la jurisprudence qui vient d¿être rappelée. d) Sous l¿angle de l¿art. 8 CEDH, les recourants font valoir leur intérêt à vivre auprès de leur mère et de leur frère cadet; ils exposent en outre ne pas avoir de famille en Equateur pour les accueillir. Les recourants, âgés de vingt et dix-neuf ans, sont majeurs. Ils sont dès lors libres de mener leur vie de manière indépendante dans leur pays d¿origine, dont ils connaissent la langue et les coutumes, pour y avoir vécu la plus grande partie de leur existence. Le poids de la séparation d¿avec leur mère et leur frère est certes lourd, mais leur situation ne diffère pas à cet égard de celui de tous les Equatoriens restés au pays (ATF 123 II 125 consid. 5b/dd p. 133; cf. en dernier lieu, s¿agissant d¿Equatoriens entrés en Suisse sans autorisation, arrêt PE.2007.0519 du 24 septembre 2008). Compte tenu de l¿âge des recourants, il n¿est pas nécessaire d¿investiguer plus avant sur leur situation familiale dans leur pays d¿origine.</w:t>
      </w:r>
    </w:p>
    <w:p>
      <w:r>
        <w:rPr>
          <w:b/>
        </w:rPr>
        <w:t>E. 3</w:t>
      </w:r>
    </w:p>
    <w:p>
      <w:r>
        <w:t>Le recours doit ainsi être rejeté, et les décisions attaquées confirmées. Les frais sont mis à la charge des recourants; il n¿y a pas lieu d¿allouer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