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PE.2008.0199 vom 10. September 2009</w:t>
      </w:r>
    </w:p>
    <w:p>
      <w:r>
        <w:t>VD Tribunal cantonal, 2009-09-10, FR</w:t>
      </w:r>
    </w:p>
    <w:p>
      <w:r>
        <w:rPr>
          <w:b/>
        </w:rPr>
        <w:t xml:space="preserve">Quelle: </w:t>
      </w:r>
      <w:r>
        <w:t>https://mcp.opencaselaw.ch/entscheid/vd_omni_PE.2008.0199</w:t>
      </w:r>
    </w:p>
    <w:p>
      <w:r>
        <w:t>FR: VD_OMNI PE.2008.0199 du 10 septembre 2009</w:t>
      </w:r>
    </w:p>
    <w:p>
      <w:r>
        <w:t>IT: VD_OMNI PE.2008.0199 del 10 settembre 2009</w:t>
      </w:r>
    </w:p>
    <w:p>
      <w:pPr>
        <w:pStyle w:val="Heading2"/>
      </w:pPr>
      <w:r>
        <w:t>Regeste</w:t>
      </w:r>
    </w:p>
    <w:p>
      <w:r>
        <w:t>X. c/Service de la population (SPOP) | Confirmation du refus de transformer une autorisation de séjour en autorisation d'établissement, les conditions de durée du séjour n'étant pas remplies à l'aune de la LSEE.</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(aLSEE).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(aOLE; art. 91 OASA; RO 1986 1791 et les modifications subséquentes). Les dispositions transitoires relatives à la LEtr doivent être appliquées par analogie à cette ordonnance. La demande de transformation de l'autorisation de séjour de la recourante a été déposée le 8 novembre 2007 , soit avant le 1 er janvier 2008; le litige doit donc être examiné à l'aune des anciennes LSEE et OLE.</w:t>
      </w:r>
    </w:p>
    <w:p>
      <w:r>
        <w:rPr>
          <w:b/>
        </w:rPr>
        <w:t>E. 2</w:t>
      </w:r>
    </w:p>
    <w:p>
      <w:r>
        <w:t>Déposé en temps utile, le recours est recevable à la forme.</w:t>
      </w:r>
    </w:p>
    <w:p>
      <w:r>
        <w:rPr>
          <w:b/>
        </w:rPr>
        <w:t>E. 3</w:t>
      </w:r>
    </w:p>
    <w:p>
      <w:r>
        <w:t>En principe, un étranger ressortissant d'un pays tiers peut obtenir une autorisation d'établissement après un séjour régulier et ininterrompu de dix ans en Suisse (Peter Uebersax, Einreise und Anwesenheit, in Ausländerrecht éd. par Peter Uebersax/Peter Münch/Thomas Geiser/Martin Arnold, Bâle 2002, p.133 ss, n. 5.73 p. 155). La Suisse n'a pas conclu avec le Brésil de traité d'établissement prévoyant un délai inférieur, comme elle l'a fait avec d'autres Etats.</w:t>
      </w:r>
    </w:p>
    <w:p>
      <w:r>
        <w:rPr>
          <w:b/>
        </w:rPr>
        <w:t>E. 4</w:t>
      </w:r>
    </w:p>
    <w:p>
      <w:r>
        <w:t>L'art. 7 al. 1 2ème phrase aLSEE disposait que le conjoint étranger d'un ressortissant suisse a droit à l'autorisation d'établissement après un séjour régulier et ininterrompu de cinq ans. Ledit séjour doit avoir été effectué dans le cadre du mariage avec le ressortissant suisse (ATF 122 II 145 consid. 3b p. 147). Le point de départ pour calculer le délai de cinq ans précité est la date du mariage en Suisse. Le laps de temps passé en Suisse avant le mariage n'est pas pris en considération (ATF 122 II 145 consid. 3b p. 147). En l’espèce, la recourante ne saurait bénéficier de la disposition précitée. En effet, son mariage a été dissout par le divorce moins de cinq ans après sa conclusion. S’agissant du délai de dix ans de séjour ininterrompu en Suisse, ce dernier n’était pas atteint à la date de la requête déposée par la recourante, ni au moment de la prise de décision de première instance. Certes, il ressort du dossier que la recourante est parfaitement intégrée et que rien ne s’oppose, à première vue, sur le plan par exemple de ses antécédents pénaux ou de son indépendance financière, à la délivrance d’un titre d’établissement lorsque les conditions formelles seront remplies. Toutefois, et quand bien même ces conditions semblent remplies aujourd’hui, le tribunal ne saurait se prononcer sur cette question qui n’a pas fait l’objet d’une décision de première instance.</w:t>
      </w:r>
    </w:p>
    <w:p>
      <w:r>
        <w:rPr>
          <w:b/>
        </w:rPr>
        <w:t>E. 5</w:t>
      </w:r>
    </w:p>
    <w:p>
      <w:r>
        <w:t>Au vu des considérants qui précèdent, le recours ne peut être que rejeté et la décision entreprise maintenue. Compte tenu des circonstances,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