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PE.2008.0163 vom 27. Mai 2008</w:t>
      </w:r>
    </w:p>
    <w:p>
      <w:r>
        <w:t>VD Tribunal cantonal, 2008-05-27, FR</w:t>
      </w:r>
    </w:p>
    <w:p>
      <w:r>
        <w:rPr>
          <w:b/>
        </w:rPr>
        <w:t xml:space="preserve">Quelle: </w:t>
      </w:r>
      <w:r>
        <w:t>https://mcp.opencaselaw.ch/entscheid/vd_omni_PE.2008.0163</w:t>
      </w:r>
    </w:p>
    <w:p>
      <w:r>
        <w:t>FR: VD_OMNI PE.2008.0163 du 27 mai 2008</w:t>
      </w:r>
    </w:p>
    <w:p>
      <w:r>
        <w:t>IT: VD_OMNI PE.2008.0163 del 27 maggio 2008</w:t>
      </w:r>
    </w:p>
    <w:p>
      <w:pPr>
        <w:pStyle w:val="Heading2"/>
      </w:pPr>
      <w:r>
        <w:t>Regeste</w:t>
      </w:r>
    </w:p>
    <w:p>
      <w:r>
        <w:t>X.________ c/Service de la population (SPOP) | L'entrée en vigueur d'une nouvelle loi, en l'occurrence la LEtr, ne constitue pas, en tant que telle, une circonstance nouvelle et décisive obligeant le SPOP à entrer en matière sur une demande de réexamen d'une décision rendue sous l'empire de la LSEE. Demande déclarée irrecevable, décision confirmée sur recours, selon l'art. 35a LJPA.</w:t>
      </w:r>
    </w:p>
    <w:p>
      <w:pPr>
        <w:pStyle w:val="Heading2"/>
      </w:pPr>
      <w:r>
        <w:t>Erwägungen</w:t>
      </w:r>
    </w:p>
    <w:p>
      <w:r>
        <w:rPr>
          <w:b/>
        </w:rPr>
        <w:t>E. 1</w:t>
      </w:r>
    </w:p>
    <w:p>
      <w:r>
        <w:t>a) Selon la jurisprudence, une autorité n'est tenue de se saisir d'une demande de réexamen que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(arrêt 2A.506/2003 du 6 janvier 2004, SJ 2004 I p. 389, consid. 2; ATF 124 II 1 consid. 3a p. 6 ; 120 Ib 42 consid. 2b p. 46/47 ; 113 Ia 146 consid. 3a p. 151/152). Cette dernière hypothèse correspond au motif de révision des décisions sur recours prévu par l'art. 66 al. 2lettre a et al. 3 PA - lequel n'est toutefois pas directement applicable en l'espèce (cf. art. 1 PA) -. Si l'autorité estime que les conditions d'un réexamen de sa décision ne sont pas remplies, elle peut refuser d'entrer en matière. Le requérant peut alors attaquer la nouvelle décision uniquement en alléguant que l'autorité inférieure a nié à tort l'existence des conditions requises. b) En l'espèce, la recourante a déjà saisi le SPOP d'une première demande de réexamen le 11 octobre 2007; le SPOP l'a déclarée irrecevable le 3 janvier 2008, faute de fait nouveau. Cette décision n'a pas été contestée. L'intéressée a déposé le 10 mars 2008 une nouvelle demande de réexamen, en invoquant les nouvelles dispositions de la LEtr, en particulier l'art. 50 LEtr. La nouvelle loi, en tant que telle, ne constitue pas une circonstance nouvelle postérieure, modifiant la situation de fait à la base du refus du SPOP du 13 février 2007, qui a été confirmé sur recours le 31 juillet 2007. Le réexamen ne permet, en effet, pas une appréciation juridique nouvelle d'un fait antérieur, quand bien même le SPOP a malheureusement laissé entendre le 18 février 2008 que tel pourrait être le cas. Est décisif en l'espèce le fait que la situation de la recourante n'a pas changé notablement depuis l'arrêt du 31 juillet 2007, ni depuis le 3 janvier 2008; au contraire même, puisque la perspective d'un éventuel remariage, désormais possible par le divorce de la recourante, n'est plus invoquée. C'est à juste titre que le SPOP n'est pas entré en matière sur la demande du 10 mars 2008, faute d'élément nouveau tenant à la situation de la recourante, qui n'a en particulier pas démontré avoir entrepris des démarches concrètes en vue de se remarier. La décision attaquée est confirmée.</w:t>
      </w:r>
    </w:p>
    <w:p>
      <w:r>
        <w:rPr>
          <w:b/>
        </w:rPr>
        <w:t>E. 2</w:t>
      </w:r>
    </w:p>
    <w:p>
      <w:r>
        <w:t>Les considérants qui précèdent conduisent au rejet du recours. Vu les circonstances, il est renoncé au prélèvement d'un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