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PE.2008.0159 vom 22. Januar 2009</w:t>
      </w:r>
    </w:p>
    <w:p>
      <w:r>
        <w:t>VD Tribunal cantonal, 2009-01-22, FR</w:t>
      </w:r>
    </w:p>
    <w:p>
      <w:r>
        <w:rPr>
          <w:b/>
        </w:rPr>
        <w:t xml:space="preserve">Quelle: </w:t>
      </w:r>
      <w:r>
        <w:t>https://mcp.opencaselaw.ch/entscheid/vd_omni_PE.2008.0159</w:t>
      </w:r>
    </w:p>
    <w:p>
      <w:r>
        <w:t>FR: VD_OMNI PE.2008.0159 du 22 janvier 2009</w:t>
      </w:r>
    </w:p>
    <w:p>
      <w:r>
        <w:t>IT: VD_OMNI PE.2008.0159 del 22 gennaio 2009</w:t>
      </w:r>
    </w:p>
    <w:p>
      <w:pPr>
        <w:pStyle w:val="Heading2"/>
      </w:pPr>
      <w:r>
        <w:t>Regeste</w:t>
      </w:r>
    </w:p>
    <w:p>
      <w:r>
        <w:t>X.________ Sàrl, Y.________ c/Service de l'emploi, Service de la population (SPOP) | Confirmation du refus d'une demande de main-d'oeuvre étrangère en faveur d'une ressortissante slovaque pour un poste non-qualifié. En vertu de l'art. 10 al. 2 ALCP, les ressortissants des nouveaux Etats membres de l'Union européenne restent soumis au principe de la priorité des travailleurs indigènes, résultant de l'art. 7 OLE. En l'espèce, les recherches sur le marché indigène du travail sont non seulement totalement insuffisantes mais encore elles n'ont pas été accomplies pour le poste effectivement occupé par l'employée slovaque. La relation intime qu'elle entretient avec son employeur n'est pas, en l'absence de tout indice de mariage sérieusement voulu et imminent, de nature à modifier la décision entreprise. Recours rejeté.</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litigieuse a été déposée le 14 décembre 2007, soit avant l'entrée en vigueur de la LEtr. Elle doit donc être examinée à l’aune des anciennes LSEE et OLE.</w:t>
      </w:r>
    </w:p>
    <w:p>
      <w:r>
        <w:rPr>
          <w:b/>
        </w:rPr>
        <w:t>E. 2</w:t>
      </w:r>
    </w:p>
    <w:p>
      <w:r>
        <w:t>La loi du 28 octobre 2008 sur la procédure administrative  (LPA-VD; RSV 173.36), entrée en vigueur le 1 er janvier 2009, a abrogé et remplacé la loi du 18 décembre 1989 sur la juridiction et la procédure administrative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La LSEE ne prévoyant aucune disposition étendant le pouvoir de contrôle de l’autorité de recours à l’inopportunité, ce grief ne saurait donc être examiné par le tribunal.</w:t>
      </w:r>
    </w:p>
    <w:p>
      <w:r>
        <w:rPr>
          <w:b/>
        </w:rPr>
        <w:t>E. 3</w:t>
      </w:r>
    </w:p>
    <w:p>
      <w:r>
        <w:t>a) Les nouveaux Etats membres de l'Union européenne (UE), dont la Slovaquie, reprennent l'acquis communautaire, y compris les accords conclus avec les pays tiers. Ainsi, les accords bilatéraux ont été automatiquement étendus aux nouveaux Etats membres, à la date de leur adhésion, à l'exception de l'accord du 21 juin 1999 sur la libre-circulation des personnes (ALCP; RS 0.142.112.681). Le protocole d'extension du 26 octobre 2004 à l’ALCP (RO 2006 995), concernant la participation, en tant que parties contractantes, de la Tchéquie, l'Estonie, Chypre, la Lettonie, la Lituanie, la Hongrie, Malte, la Pologne, la Slovénie et la Slovaquie, à la suite de leur adhésion à l'UE, entré en vigueur par échanges de notes du 1 er avril 2006, prévoit une réglementation transitoire à l’égard des nouveaux Etats membres, à l'exclusion de Chypre et Malte. Selon l'art. 2 let. b du protocole, les paragraphes suivants sont ajoutés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des huit nouveaux états membres concernés les mesures transitoires prévues à l’art. 10 paragraphes 1a et 2a de l’accord, tel qu’amendé par le protocole à l’ALCP (RO 2008 573). b) L'Office fédéral des migrations (ODM) a édicté des directives et commentaires concernant l'introduction progressive de la libre-circulation des personnes entre la Confédération suisse et la Communauté européenne, ainsi que ses vingt-cinq Etats membres, et entre la Confédération suisse et les Etats membres de l'AELE, la Norvège, l'Islande et la Principauté de Liechtenstein (Directives OLCP; état au 1 er juin 2007, disposent en particulier ce qui suit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 [...] 5.5.2       Contrôle de la priorité des travailleurs indigènes Art. 10 al. 2a ALCP Lors de la décision préalable relative au marché du travail (ch.4.5),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Ainsi, les travailleurs ressortissants des huit nouveaux Etats membres précités demeurent soumis au principe de la priorité des travailleurs indigènes résultant de l'art. 7 OLE. En vertu de l'art. 7 al. 1 OLE, l'autorisation pour l'exercice d'une première activité n'est accordée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Selon la jurisprudence constante du tribunal, il faut se montrer strict quant à l'exigence des recherches faites sur le marché du travail, afin de donner la priorité aux travailleurs indigènes. Lorsque c'est par pure convenance personnelle que l’employeur souhaite engager un étranger plutôt qu’un demandeur d'emploi présentant des qualifications comparables, la demande est en principe rejetée (Tribunal administratif PE.2006.0405 du 19 octobre 2006 et les arrêts cités ; CDAP, PE.2007.0237 du 10 mars 2008 et PE.2007.0573 du 11 juin 2008). Dans le cas d'une ressortissante polonaise, proposée pour un poste d'aide de cuisine, la cour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De même, la réponse à sept annonces spontanées de travailleurs sur Internet, la passation d'une unique annonce sur un site et le recours ponctuel a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Par ailleurs,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c) En l’espèce, dans le cadre de l’instruction de la demande de permis de travail , la recourante a expliqué, le 8 avril 2008, avoir eu de nombreux contacts, soit par des offres spontanées, soit par diverses démarches auprès de relations, mais que les personnes auditionnées n'étaient pas à la recherche d'un emploi à plein temps, alors même que le contrat de travail fourni initialement à l'appui de la demande du 14 décembre 2007 mentionnait une durée de travail hebdomadaire de 20h. L'entreprise n’a fourni aucune preuve des démarches précitées. La décision de refus de délivrer une autorisation de travail a été rendue le 14 avril 2008. Ce n’est que postérieurement à cette décision, et alors que la recourante occupait déjà son poste, que la société a entrepris de recherches sur le marché indigène du travail. Ainsi, ce n'est que le 9 juin 2008 qu'elle a inscrit un poste de chef de chantier/chef d’équipe de nettoyage auprè s de l’ORP . Cette annonce mentionne « En qualité de chef de chantier. Rendez-vous avec les client et architectes. Etablissement de devis. Suivi et contrôle des chantiers. Surveillance et contrôle des heures des ouvriers. Prospection de nouveaux clients. Connaissance du domaine du nettoyage. Prendre contact par tél. » et que la préférence sera donnée à une personne de sexe masculin. La description de ce poste ne correspond pas à celui effectivement occupé par la recourante. Au vu des pièces produites, seule une personne semble s'être annoncée; elle ne se serait par ailleurs jamais présentée. Quant à l’annonce d'offre d'emploi pour « un chef d’équipe avec expérience à 50%, une cheffe d’équipe avec expérience à 100% », elle n'a été publiée dans un quotidien régional que le 31 juillet 2008, soit 7 mois après l'entrée en vigueur du contrat de travail de la recourante. Cette annonce concerne également un poste différent de celui occupé par la recourante. Selon le courrier du conseil de la recourante du 24 octobre 2008, seules deux personnes, qui ne présentaient absolument pas le profil nécessaire, se seraient présentées suite à ces deux annonces. Il ressort de ce qui précède que non seulement les recherches sur le marché indigène du travail ont été totalement insuffisantes au regard des exigences posées par les directives ALCP et la jurisprudence précitée, mais encore qu'elles n'ont pas été faites pour le poste occupé effectivement par l'employée recourante. De plus, les deux annonces sont nettement postérieures à la requête de main-d’œuvre étrangère, alors même que l'employeur est tenu de prospecter suffisamment tôt sur le marché indigène du travail, avant le dépôt de la demande de main-d'œuvre étrangère (PE.2007.0270 du 6 septembre 2007). Force est donc de conclure que la société n'a pas entrepris tous les efforts possibles pour trouver un travailleur sur le marché indigène. La société invoque encore que son gérant et l'employée recourante se fréquentent depuis quatre ans, que cette dernière le seconde efficacement dans son travail, dans l'organisation de chantiers ainsi que pour diverses petites tâches de bureau et qu'ils vivent ensemble depuis 6 mois. La confiance qu'il lui accorde ne pourrait être octroyée à d'autres, notamment en raison de la confidentialité des contacts professionnels et des relations bancaires. L'employée recourante indique, par l'intermédiaire de son conseil, qu'elle est responsable de l'administration, de la comptabilité et l'organisation du travail et qu'elle est la compagne du gérant, raison pour laquelle il aurait beaucoup de peine à trouver une personne ayant toutes les qualités requises sur le marché indigène. Si ces arguments sont dignes d'intérêt, ils ne constituent en aucun cas un motif permettant de déroger à la règle de la priorité du travailleur indigène. De nombreuses fonctions exigent la confidentialité la plus totale de la part des collaborateurs; à ce titre, il est usuel que les contrats de travail contiennent des clauses de confidentialité, sous peine de sanctions. Tel est d'ailleurs le cas du contrat de travail de l'employée recourante. Finalement, l es fiançailles ou le concubinage ne permettent pas, sous réserve de circonstances particulières, d'invoquer le respect de la vie privée et familiale garanti par l'art. 8 CEDH. C'est ainsi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(ATF 2C_90/2007 du 27 août 2007 consid. 4, 2A.305/2006 du 2 août 2006 consid. 5.2; 2A.64/2005 du 4 février 2005; arrêt CDAP PE.2008.0166 du 23 octobre 2008). En l'occurrence, les recourants n'ont ni allégué, ni démontré se trouver dans une telle situation. Dans ces conditions, l'autorité intimée n'a pas abusé de son pouvoir d'appréciation en considérant que les recherches accomplies étaient, en l'état, insuffisantes pour considérer que l'employeur avait fait tous les efforts possibles pour trouver un travailleur sur le marché indigène.</w:t>
      </w:r>
    </w:p>
    <w:p>
      <w:r>
        <w:rPr>
          <w:b/>
        </w:rPr>
        <w:t>E. 4</w:t>
      </w:r>
    </w:p>
    <w:p>
      <w:r>
        <w:t>Les considérants qui précèdent conduisent au rejet du recours aux frais des recourantes prises solidairement (art. 49 LPA-VD). Elles 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