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PE.2008.0141 vom 30. Mai 2008</w:t>
      </w:r>
    </w:p>
    <w:p>
      <w:r>
        <w:t>VD Tribunal cantonal, 2008-05-30, FR</w:t>
      </w:r>
    </w:p>
    <w:p>
      <w:r>
        <w:rPr>
          <w:b/>
        </w:rPr>
        <w:t xml:space="preserve">Quelle: </w:t>
      </w:r>
      <w:r>
        <w:t>https://mcp.opencaselaw.ch/entscheid/vd_omni_PE.2008.0141</w:t>
      </w:r>
    </w:p>
    <w:p>
      <w:r>
        <w:t>FR: VD_OMNI PE.2008.0141 du 30 mai 2008</w:t>
      </w:r>
    </w:p>
    <w:p>
      <w:r>
        <w:t>IT: VD_OMNI PE.2008.0141 del 30 maggio 2008</w:t>
      </w:r>
    </w:p>
    <w:p>
      <w:pPr>
        <w:pStyle w:val="Heading2"/>
      </w:pPr>
      <w:r>
        <w:t>Regeste</w:t>
      </w:r>
    </w:p>
    <w:p>
      <w:r>
        <w:t>A.X.________ c/Service de la population (SPOP) | Le recourant a soulevé des moyens étrangers à la décision dont il demande la reconsidération. Sa requête est irrecevable. Subsidiairement, elle doit être rejetée, car on ne se trouve pas dans un cas de rigueur.</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cf. en dernier lieu l’arrêt PE.2007.0502 du 19 mars 2008). b) La procédure qui a conduit au prononcé de la décison rendue par le SPOP le 16 avril 2007 portait sur l’octroi d’une autorisation de séjour pour le recourant lui-même, à raison de sa nationalité française, et sur l’octroi d’une autorisation par regroupement familial pour sa femme et ses enfants. Les arguments soulevés par le recourant à l’appui de sa demande de reconsidération du 22 février 2008 ne concernent en rien les faits retenus dans la décision du 16 avril 2007, mais uniquement des éléments étrangers à celle-ci. Cette démarche ne correspond pas à ce qu’on entend par reconsidération au sens de la jurisprudence qui vient d’être rappelée, mais à une nouvelle demande, dont le fondement est différent. Le SPOP n’a pas violé la loi en retenant, à titre principal, que la demande de reconsidération était irrecevable pour ce motif.</w:t>
      </w:r>
    </w:p>
    <w:p>
      <w:r>
        <w:rPr>
          <w:b/>
        </w:rPr>
        <w:t>E. 3</w:t>
      </w:r>
    </w:p>
    <w:p>
      <w:r>
        <w:t>A titre subsidiaire, le SPOP a rejeté la demande. a) Le recourant et sa famille, originaires du Kosovo, ne remplissent pas les conditions d’admission visées aux art. 18 à 29 LEtr. Ils ne le prétendent pas, au demeurant. Ils se prévalent toutefois de l’art. 30 al. 1 let. b LEtr, à teneur duquel il est possible de déroger aux conditions d’admission, afin de tenir compte des cas individuels d’une extrême gravité ou d’intérêts publics majeurs. Cette disposition s’apparente à l’art. 13 let. f de l’ordonnance du 6 octobre 1986 limitant le nombre des étrangers (OLE), abrogée dès le 1 er janvier 2008 (arrêt PE.2008.0093 du 16 avril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Des motifs médicaux peuvent conduire à la reconnaissance d’un cas de rigueur lorsque l’intéressé démontre souffrir d’une sérieuse atteinte à la santé, nécessitant des soins continus indisponibles dans le pays d’origine, de sorte qu’un départ de Suisse compromettrait gravement sa santé; le seul fait d’obtenir en Suisse des prestations médicales supérieures à celles offertes dans le pays d’origine ne suffit cependant pas pour justifier une exception aux mesures de limitation (cf. arrêts PE.2007.0331 du 28 septembre 2007; PE.2006.0661 du 27 avril 2007). b) A l’appui de l’arrêt du 13 juillet 2007, le Tribunal administratif avait considéré que le recourant, jeune et en bonne santé, entré en Suisse en octobre 2005, ne disposait pas d’attaches particulières avec la Suisse, de sorte que son renvoi ne l’exposerait pas à des conséquences plus graves pour lui que pour tout autre de ses concitoyens appelé à quitter la Suisse au terme de son séjour. De même, le jeune âge et le court séjour en Suisse de l’épouse du recourant et de leurs enfants, ne feraient pas obstacle à leur retour au Kosovo. Ces considérations restent valables. Quant à la dépression dont souffre l’épouse du recourant, elle ne constitue pas davantage un empêchement à ce qu’elle retourne au Kosovo, où elle peut recevoir les soins et le traitement appropriés à son état.</w:t>
      </w:r>
    </w:p>
    <w:p>
      <w:r>
        <w:rPr>
          <w:b/>
        </w:rPr>
        <w:t>E. 4</w:t>
      </w:r>
    </w:p>
    <w:p>
      <w:r>
        <w:t>Le recours doit ainsi être rejeté et la décision attaquée confirmée. Il appartiendra au SPOP de fixer un nouveau délai de départ (cf. arrêt PE.2005.0159 du 6 juin 2006). Les frais sont mis à la charge du recourant;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