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PE.2008.0124 vom 24. Juli 2008</w:t>
      </w:r>
    </w:p>
    <w:p>
      <w:r>
        <w:t>VD Tribunal cantonal, 2008-07-24, FR</w:t>
      </w:r>
    </w:p>
    <w:p>
      <w:r>
        <w:rPr>
          <w:b/>
        </w:rPr>
        <w:t xml:space="preserve">Quelle: </w:t>
      </w:r>
      <w:r>
        <w:t>https://mcp.opencaselaw.ch/entscheid/vd_omni_PE.2008.0124</w:t>
      </w:r>
    </w:p>
    <w:p>
      <w:r>
        <w:t>FR: VD_OMNI PE.2008.0124 du 24 juillet 2008</w:t>
      </w:r>
    </w:p>
    <w:p>
      <w:r>
        <w:t>IT: VD_OMNI PE.2008.0124 del 24 luglio 2008</w:t>
      </w:r>
    </w:p>
    <w:p>
      <w:pPr>
        <w:pStyle w:val="Heading2"/>
      </w:pPr>
      <w:r>
        <w:t>Regeste</w:t>
      </w:r>
    </w:p>
    <w:p>
      <w:r>
        <w:t>c/Service de la population (SPOP) | Confirmation de la révocation d'une autorisation frontalière CE/AELE d'un ressortissant portugais domicilié en France à la suite d'une série d'infractions (notamment voies de fait, lésions corporelles simples et infraction à la loi sur les stupéfiants), compte tenu notamment du risque de récidive. Pas de conséquence sur la vie familiale du recourant puisque ce dernier réside en France avec sa fiancée.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a) En sa qualité de citoyen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et de séjourner et d¿exercer une activité économique sur le territoire de l¿autre partie contractante selon les modalités prévues aux chap. II à IV (art. 2 al. 1 de l¿annexe I ALCP). b) Toutefois, les droits octroyés par l¿ALCP peuvent être limités par des mesures justifiées par des raisons d¿ordre public, de sécurité publique et de santé publique (art. 5 de l¿annexe 1 ALCP). Lorsque les autorités suisses appliquent l¿ALCP, elles doivent tenir compte de certaines directives européennes et de la jurisprudence pertinente de la Cour de justice des Communautés européennes (CJCE) antérieure à la date de la signature de l¿accord (art. 5 al. 2 de l¿annexe 1 ALCP et art. 16 ALCP). Ainsi, les limitations au principe de la libre circulation des personnes doivent s'interpréter de manière restrictive. Le recours par une autorité nationale à la notion de l'ordre public pour restreindre la libre-circulation des personnes suppose, en dehors du trouble pour l'ordre social que constitue toute infraction à la loi, l'existence d'une menace réelle et d'une certaine gravité, affectant un intérêt fondamental de la société.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(sur ce qui précède voir ATF 130 II 493 consid. 3.2 et les références à la jurisprudence de la CJCE). On ne saurait cependant déduire de la jurisprudence précitée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en réalité,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En outre, comme lorsqu'il s'agit d'examiner la conformité d'une mesure d'éloignement prise à l'encontre de n'importe quel autre étranger, cette appréciation se fera dans le cadre des garanties découlant de la Convention européenne des droits de l'homme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w:t>
      </w:r>
    </w:p>
    <w:p>
      <w:r>
        <w:rPr>
          <w:b/>
        </w:rPr>
        <w:t>E. 3</w:t>
      </w:r>
    </w:p>
    <w:p>
      <w:r>
        <w:t>Dans le cas particulier, il résulte des différents jugements pénaux figurant au dossier que le recourant a commis de nombreuses infractions depuis 2005, qui ont notamment porté atteinte à l'intégrité physique de tiers. Au mois d'octobre 2005, alors qu'il venait de subir plusieurs jours de détention, le recourant a ainsi frappé un disque-jockey dans un établissement public et l'a menacé avec un revolver (cf. ordonnance de condamnation du juge d'instruction de l'arrondissement de La Côte du 13 juin 2006). Selon le jugement rendu le 1 er novembre 2006 par le Tribunal correctionnel de l'arrondissement de La Côte, il a récidivé au mois de mars 2006 en menaçant le portier d'un établissement public "de le descendre avec une arme" alors que ce dernier était intervenu parce qu'il s'en était pris sans raison à un autre client. Il résulte également de ce jugement que le recourant s'est adonné au trafic de cocaïne entre les mois de septembre 2005 et janvier 2006, le montant exact de ses achats et ventes n'ayant pas pu être établi exactement "car les toxicomanes de la région n'ont pas voulu témoigner par peur de représailles" (jugement du 1 er novembre 2007 p. 13). Vu ce qui précède, le risque de récidive, déterminant en l'espèce, apparaît relativement important. Ce pronostic se fonde sur le nombre et la gravité des infractions commises et l'absence d'amendement du recourant à la suite des périodes de détentions subies, le jugement rendu par le Tribunal correctionnel de l'arrondissement de La Côte le 1 er novembre 2007 mettant notamment en évidence une incapacité de comprendre la gravité des actes commis. Certes, le recourant prétend que son incarcération depuis le 29 octobre 2007 lui aurait permis de réfléchir et de se remettre en question (cf. mémoire complémentaire du 10 juin 2008) et qu'il aurait décidé de renoncer à la consommation de cocaïne, consommation qui aurait été à l'origine de ses problèmes d'agressivité. Cette remise en question et cette évolution est également mentionée dans le courrier adressé par son amie au tribunal. Ces déclarations sont toutefois sujettes à caution dès lors que, comme on l'a vu ci-dessus, le recourant a récidivé peu de temps après avoir subi une première période d'incarcération. Le fait pour l¿autorité intimée d¿avoir considéré qu¿il représentait encore une menace réelle et actuelle pour l¿ordre public ne prête par conséquent pas flanc à la critique. 4.                Dans la pesée des intérêts à effectuer en application du principe de la proportionnalité, il convient de prendre en considération le fait que le recourant réside en France à 2.**********, de même que sa fiancée avec laquelle il explique vouloir se marier et fonder une famille. La décision attaquée ne porte aucun préjudice au recourant à cet égard puisqu¿elle a uniquement pour conséquence de l¿empêcher de travailler en Suisse. On note également que, quand bien même le recourant indique que plusieurs membres de sa famille habitent en Suisse, la décision attaquée ne l¿empêche pas de maintenir des relations avec ces personnes. Même si l¿impossibilité de travailler en Suisse et de reprendre son activité auprès de l¿entreprise 3.************ SA est susceptible d¿affecter le recourant sur le plan économique, l¿atteinte à sa situation familiale et personnelle doit ainsi être relativisée. 5.                Vu ce qui précède, la décision attaquée, en tant qu'elle se fonde sur la menace que représente le recourant pour l'ordre public, doit être confirmée. Le recours doit ainsi être rejeté et cette décision confirmée. Au vu de ce résultat, les frais de justice seront mis à la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