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PE.2008.0089 vom 8. Juli 2008</w:t>
      </w:r>
    </w:p>
    <w:p>
      <w:r>
        <w:t>VD Tribunal cantonal, 2008-07-08, FR</w:t>
      </w:r>
    </w:p>
    <w:p>
      <w:r>
        <w:rPr>
          <w:b/>
        </w:rPr>
        <w:t xml:space="preserve">Quelle: </w:t>
      </w:r>
      <w:r>
        <w:t>https://mcp.opencaselaw.ch/entscheid/vd_omni_PE.2008.0089</w:t>
      </w:r>
    </w:p>
    <w:p>
      <w:r>
        <w:t>FR: VD_OMNI PE.2008.0089 du 8 juillet 2008</w:t>
      </w:r>
    </w:p>
    <w:p>
      <w:r>
        <w:t>IT: VD_OMNI PE.2008.0089 del 8 luglio 2008</w:t>
      </w:r>
    </w:p>
    <w:p>
      <w:pPr>
        <w:pStyle w:val="Heading2"/>
      </w:pPr>
      <w:r>
        <w:t>Regeste</w:t>
      </w:r>
    </w:p>
    <w:p>
      <w:r>
        <w:t>A. X.________, B. X.________, C. X.________, D. X.________ c/Service de la population (SPOP) | Demande de réexamen; refus confirmé d'entrer en matière; pseudo-nova; les nouveaux éléments de fait apportés par les recourants et attestés par des pièces nouvellement produites auraient pu être allégués et prouvés au cours de la procédure antérieure.</w:t>
      </w:r>
    </w:p>
    <w:p>
      <w:pPr>
        <w:pStyle w:val="Heading2"/>
      </w:pPr>
      <w:r>
        <w:t>Erwägungen</w:t>
      </w:r>
    </w:p>
    <w:p>
      <w:r>
        <w:rPr>
          <w:b/>
        </w:rPr>
        <w:t>E. 1</w:t>
      </w:r>
    </w:p>
    <w:p>
      <w:r>
        <w:t>a) Le Tribunal fédéral a déduit de l'art. 4 aCst. (art. 29 al. 1 et 2 nouvelle Constitution fédérale du 18 avril 1999)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2C_159/2007 du 2 août 2007 ; 127 I 133 consid. 6 ;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Les actes administratifs et leur contrôle, Berne 1991, p. 230;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("Dauerverfügung"; P. Moor, op. cit., p. 230;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230; Rhinow/Koller/Kiss, op. cit., n° 1431). La jurisprudence souligne toutefois que les demandes de nouvel examen ne sauraient servir à remettre continuellement en question des décisions administratives, ni surtout à éluder les dispositions légales sur les délais de recours (ATF 109 Ib 246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229;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IV 317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 d) En l'espèce, la demande de réexamen est fondée sur les nouveaux faits apportés par les recourants et prouvés par différentes déclarations qui attestent de la relation prépondérante qui aurait existé entre la mère et ses enfants ; le père n¿aurait pas pourvu à leurs besoins et à leur éducation au cours de ces années, de sorte que c¿était la mère qui aurait dû s¿en charger, en particulier en engageant une personne pour prendre soin des enfants. Il est encore relevé dans les courriers produits que si le père avait insisté pour obtenir la garde de ses enfants, c¿était en raison de l¿appartement familial, propriété de son ex-épouse, qu¿il souhaitait pouvoir conserver. Ces faits ont été allégués à la suite des arrêts du Tribunal administratif et du Tribunal fédéral, où il a été souligné qu¿aucune pièce ne figurait au dossier attestant de l¿existence d¿une relation prépondérante entre la mère et ses enfants. Il s¿agit ainsi de pseudo-nova, puisque ces faits étaient connus des recourants lors de la procédure précédente. La question déterminante est par conséquent celle de savoir si ces faits auraient pu être allégués et les moyens de preuve correspondants produits dans la procédure antérieure. Les recourants soutiennent à cet égard que les démarches pour obtenir les documents transmis se seraient révélées compliquées, puisqu¿il fallait en premier lieu retrouver les personnes concernées, puis traduire leurs déclarations. Toutefois, les pièces produites ne proviennent pas toutes de personnes domiciliées au Brésil, mais également de membres de la famille domiciliés en Suisse. En outre, les recourants n¿ont à l¿époque pas indiqué dans leurs recours au Tribunal administratif puis au Tribunal fédéral qu¿ils avaient entrepris des démarches pour obtenir ces documents. Il apparaît ainsi plutôt que ceux-ci ont été sollicités à la suite de l¿arrêt du Tribunal fédéral du 2 octobre 2007 où il est expressément indiqué qu¿il n¿y avait aucune pièce figurant au dossier permettant de penser que, durant la période où les enfants vivaient éloignés de leur mère, il existait une relation prépondérante avec elle qui reléguait à l¿arrière-plan celle entretenue avec le père. Les documents produits sont d¿ailleurs quasiment tous datés du mois de décembre 2007 ; on peut dès lors penser qu¿ils ont été requis après l¿arrêt du Tribunal fédéral. Enfin, aucun motif n¿empêchait les recourants d¿alléguer de tels faits dans les procédures précédentes. Ainsi, compte tenu du fait que les demandes de réexamen ne sauraient servir à remettre continuellement en cause les décisions administratives, ni à éluder les dispositions légales sur les délais de recours, l¿allégation de ces pseudo-nova et les nouvelles pièces produites ne peuvent justifier une entrée en matière sur un réexamen. Il en est de même de l¿argument concernant l¿intégration des enfants en Suisse que les recourants ont invoqué dans leur demande de réexamen; le Tribunal fédéral a en effet déjà examiné ce point en indiquant dans son arrêt que le séjour des enfants en Suisse depuis le 1 er mai 2006 ne pouvait être pris en considération, car cela reviendrait à encourager la politique du fait accompli et, par conséquent, à porter atteinte au principe de l¿égalité par rapport aux nombreux étrangers qui respectent les procédures établies pour obtenir un titre de séjour en Suisse (considérant 4 de l¿ATF précité). e) S¿agissant enfin de l¿entrée en vigueur au 1 er janvier 2008 des nouvelles dispositions en matière de droit des étrangers, il a été jugé récemment que la nouvelle loi ne constituait pas, en tant que telle, une circonstance nouvelle postérieure, car le réexamen ne permettait pas de procéder à une appréciation juridique nouvelle d¿un fait antérieur (arrêt TA PE.2008.0163 du 27 mai 2008 consid. 1b). En l¿espèce, la nouvelle réglementation applicable en matière de regroupement familial pour les enfants étrangers du titulaire d¿une autorisation d¿établissement correspond en principe à l¿ancienne loi (cf. message du Conseil fédéral in FF 2002 3548 in fine ; art. 43 et 47 de la loi fédérale du 16 décembre 2005 sur les étrangers) ; un réexamen n¿est ainsi pas justifié. Les recourants n¿exposent d¿ailleurs pas dans quelle mesure la nouvelle loi leur accorderait le droit au regroupement familial.</w:t>
      </w:r>
    </w:p>
    <w:p>
      <w:r>
        <w:rPr>
          <w:b/>
        </w:rPr>
        <w:t>E. 2</w:t>
      </w:r>
    </w:p>
    <w:p>
      <w:r>
        <w:t>Il résulte des considérants qui précèdent que le recours doit être rejeté et la décision attaquée maintenue, en tant qu¿elle prononce l¿irrecevabilité de la demande de réexamen du 7 janvier 2008. Au vu de ce résultat, les frais de justice seront mis à la charge des recourants (art. 55 al. 1 LJPA)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