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PE.2008.0087 vom 22. Januar 2009</w:t>
      </w:r>
    </w:p>
    <w:p>
      <w:r>
        <w:t>VD Tribunal cantonal, 2009-01-22, FR</w:t>
      </w:r>
    </w:p>
    <w:p>
      <w:r>
        <w:rPr>
          <w:b/>
        </w:rPr>
        <w:t xml:space="preserve">Quelle: </w:t>
      </w:r>
      <w:r>
        <w:t>https://mcp.opencaselaw.ch/entscheid/vd_omni_PE.2008.0087</w:t>
      </w:r>
    </w:p>
    <w:p>
      <w:r>
        <w:t>FR: VD_OMNI PE.2008.0087 du 22 janvier 2009</w:t>
      </w:r>
    </w:p>
    <w:p>
      <w:r>
        <w:t>IT: VD_OMNI PE.2008.0087 del 22 gennaio 2009</w:t>
      </w:r>
    </w:p>
    <w:p>
      <w:pPr>
        <w:pStyle w:val="Heading2"/>
      </w:pPr>
      <w:r>
        <w:t>Regeste</w:t>
      </w:r>
    </w:p>
    <w:p>
      <w:r>
        <w:t>X. c/Service de la population (SPOP) | Confirmation du refus de délivrer une autorisation de séjour à une ressortissante équatorienne en bonne santé, vivant en Suisse depuis décembre 2000 et dont la fille de huit ans habite en Equateur avec la grand-mère maternelle. Les motifs économiques invoqués (fait que sa fille et sa mère dépendent entièrement d'elle pour assurer leur subsistance) ne constituent pas un cas personnel d'extrême gravité qui justifierait l'octroi d'une autorisation fondée sur l'art. 13f OLE. Recours rejeté.</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Selon l'art. 92 LPA-VD, le Tribunal cantonal connaît des recours contre les décisions et décisions sur recours rendues par les autorités administratives lorsque la loi ne prévoit aucune autre autorité pour en connaître. Il est ainsi compétent pour statuer sur les recours interjetés contre les décisions du SPOP.</w:t>
      </w:r>
    </w:p>
    <w:p>
      <w:r>
        <w:rPr>
          <w:b/>
        </w:rPr>
        <w:t>E. 2</w:t>
      </w:r>
    </w:p>
    <w:p>
      <w:r>
        <w:t>La loi fédérale du 16 décembre 2005 sur les étrangers (LEtr; RS 142.20), entrée en vigueur le 1 er janvier 2008, abroge et remplace l'ancienne loi fédérale du 26 mars 1931 sur le séjour et l'établissement des étrangers (LSEE). Selon l'art. 126 al. 1 LEtr, les demandes déposées avant son entrée en vigueur, le 1 er janvier 2008,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Les dispositions transitoires relatives à la LEtr doivent être appliquées par analogie à cette ordonnance. La recourante a sollicité une demande de permis de séjour avec activité lucrative (autorisation annuelle B Etats tiers) en juillet 2007, soit avant le 1 er janvier 2008. Dès lors, le litige doit être examiné à l'aune des anciennes LSEE et OLE.</w:t>
      </w:r>
    </w:p>
    <w:p>
      <w:r>
        <w:rPr>
          <w:b/>
        </w:rPr>
        <w:t>E. 3</w:t>
      </w:r>
    </w:p>
    <w:p>
      <w:r>
        <w:t>Aux termes de l'art. 98 LPA-VD, le recourant peut invoquer la violation du droit, y compris l'excès ou l'abus du pouvoir d'appréciation, ainsi que la constatation inexacte ou incomplète des faits pertinents. La LSEE ne prévoyant par ailleurs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 PE.2008.0081 du 4 juillet 2008; PE.2008.0078 du 27 mai 2008; PE.2006.0451 du 23 avril 2007).</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du 1 er mars 1949 d'exécution de la LSEE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126 II 377 consid. 2 et 335 consid. 1a; 124 II 361 consid. 1a; PE.2008.0081 précité), ce qui n'est pas le cas en l'espèce. Pour le surplus, on ne discerne pas quelle autorisation de séjour fondée sur la LSEE proprement dite pourrait être délivrée à la recourante. Il reste donc à examiner la décision querellée sous l'angle de l'art. 13 let. f OLE.</w:t>
      </w:r>
    </w:p>
    <w:p>
      <w:r>
        <w:rPr>
          <w:b/>
        </w:rPr>
        <w:t>E. 5</w:t>
      </w:r>
    </w:p>
    <w:p>
      <w:r>
        <w:t>La recourante prétend que son cas relèverait de l'art. 13 let. f de l'ancienne OLE. Selon cette disposition, ne sont pas comptés dans les nombres maxima les étrangers qui obtiennent une autorisation de séjour dans un cas personnel d'extrême gravité ou en raison de considérations de politique générale . Dans la pratique, on parle, pour les permis de séjour délivrés dans les cas de rigueur, de permis "humanitaires". D'après les art. 52 let. a et 53 OLE, l'ODM est seul compétent pour accorder de telles exceptions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(ATF 122 II 186 consid. 1d/bb). Pratiquement, l'application de l'art. 13 let. f OLE suppose donc deux décisions, soit celle de l'autorité fédérale sur l'exception aux mesures de limitation et celle de l'autorité cantonale qui est la délivrance de l'autorisation de séjour proprement dite. Dans un arrêt de principe (PE.2006.0451 du 23 avril 2007), le tribunal de céans a précisé que le SPOP est tenu de transmettre le dossier à l'ODM comme objet de sa compétence selon l'art. 52 let. a OLE, mis en relation avec l'art. 13 let.f OLE, lorsque l'octroi d'une autorisation conformément aux dispositions de l'ancienne LSEE n'entre pas en ligne de compte, mais que les conditions d'un cas de rigueur au sens de l'art. 13 let. f OLE – suivant les critères développés par l'ODM et le Tribunal fédéral - sont apparemment remplies. S'il existe en revanche d'autres motifs pour refuser l'autorisation, à savoir des motifs de police au sens large (existence d'infractions aux prescriptions de police des étrangers, motifs d'expulsion, d'assistance publique, etc.), l'autorité cantonale n'a aucune obligation de procéder à une telle transmission (ATF 119 Ib 91, c. 1c, JT 1995 I 240; cf. également, parmi d'autres, arrêts PE.2008.0081 précité, PE.2000.0087 du 13 novembre 2000, PE.2000.0380 du 21 novembre 2000, PE.1999.0182 du 10 janvier 2000, PE.1998.0550 du 7 octobre 1999 et PE.1998.0657 du 18 mai 1999). b) Les mesures de limitation visent, en premier lieu, à assurer un rapport équilibré entre l'effectif de la population suisse et celui de la population étrangère résidente , ainsi qu' à améliorer la structure du marché du travail et à assurer un équilibre optimal en matière d'emploi (art. 1 let. a et c OLE). L'art. 13 let. f OLE soustrait aux mesures de limitation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maxima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(PE.2008.0081 et PE.2006.00451 précités).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maxima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autre pays, notamment dans son pays d'origine (ATF 124 II 110 consid. 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jurisprudence citée; PE.2008.0081 et PE.2006.0451 précités).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 requérant sera exposé dès son retour, sauf si celui-ci allègue d'importantes difficultés concrètes propres à son cas particulier (ATF 123 II 133 consid. 5b.dd; PE.2008.0081 et PE.2006.0451 précités). c)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ou sur son intégration sociale (ATF 130 II 39 consid. 3). Dans ce même arrêt, le Tribunal fédéral a aussi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 tenir compte dans ce contexte des infractions commises aux prescriptions de la police des étrangers, à savoir entrée, séjour et travail sans autorisation. Il ne faut toutefois pas exagérer l'importance d'infractions inhérentes à la condition de travailleur clandestin (ATF 130 II 39 consid. 5.2). d) En l'espèce, la recourante allègue vivre en Suisse depuis le 18 décembre 2000. La durée de ce séjour serait donc d'un peu plus de sept ans au moment où la décision attaquée a été rendue. Cette durée n'est pas négligeable, mais, compte tenu de la jurisprudence rappelée ci-dessus, elle ne peut être considérée comme déterminante pour l'application de l'art. 13 let. f OLE, puisque ledit séjour est illégal. Sur le plan personnel, la recourante, qui est en bonne santé, a une fille de bientôt huit ans qui vit dans son pays d'origine, confiée à la garde de sa grand-mère maternelle. En dehors d'une cousine, de son église, de ses employeurs et de l'association des équatoriens et amis de l'Equateur à 1.********, la recourante n'a pas formé d'attaches particulières avec la Suisse. De telles relations ne peuvent en effet être qualifiées de si étroites qu'elles justifient une mesure d'exemption des mesures de limitation du nombre des étrangers (ATF 130 II 39; ATF 128 II 200). La recourante a vécu la majeure partie de son existence dans son pays d'origine, où résident sa mère et sa fille, de sorte que l'on peut retenir, comme le SPOP, qu'elle y a conservé ses principales attaches familiales, culturelles et sociales. La recourante est certes autonome financièrement et semble très appréciée par ses employeurs. Cette activité - ménage et garde d'enfants - ne la met toutefois pas au bénéfice de qualifications professionnelles particulières au sens de l'art. 8 al. 3 let. a OLE. Même si les conditions économiques de son pays d'origine peuvent paraître moins favorables qu'en Suisse, la recourante n'invoque pas d'importantes difficultés concrètes distinguant son cas particulier de celui de la population qui y est confrontée et l'empêchant d'y poursuivre une activité professionnelle. En réalité, la recourante admet que ses motifs de demeurer en Suisse sont essentiellement économiques, puisqu'elle insiste sur le fait  que sa fille et sa mère dépendent entièrement d'elle pour leur subsistance. Dans ces circonstances, les conditions pour qu'on puisse admettre un cas de rigueur au sens de l'art. 13 let. f OLE ne sont manifestement pas remplies. Au vu de ce qui précède, il n'y a pas lieu de déroger au principe du renvoi posé par l'art. 3 al. 3 RSEE et force est de constater que le SPOP n'a pas violé le droit fédéral ni abusé de son pouvoir d'appréciation en refusant l'autorisation de séjour sollicitée et en ne transmettant pas le dossier à l'autorité fédérale pour qu'elle statue sur l'octroi éventuel d'une exception aux mesures de limitation.</w:t>
      </w:r>
    </w:p>
    <w:p>
      <w:r>
        <w:rPr>
          <w:b/>
        </w:rPr>
        <w:t>E. 6</w:t>
      </w:r>
    </w:p>
    <w:p>
      <w:r>
        <w:t>Les considérants qui précèdent conduisent au rejet du recours aux frais de la recourante qui succombe (art. 49 LPA-VD), laquelle n'a au surplus pas droit à des dépens. Vu l'issue du pourvoi,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