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PE.2008.0072 vom 27. August 2008</w:t>
      </w:r>
    </w:p>
    <w:p>
      <w:r>
        <w:t>VD Tribunal cantonal, 2008-08-27, FR</w:t>
      </w:r>
    </w:p>
    <w:p>
      <w:r>
        <w:rPr>
          <w:b/>
        </w:rPr>
        <w:t xml:space="preserve">Quelle: </w:t>
      </w:r>
      <w:r>
        <w:t>https://mcp.opencaselaw.ch/entscheid/vd_omni_PE.2008.0072</w:t>
      </w:r>
    </w:p>
    <w:p>
      <w:r>
        <w:t>FR: VD_OMNI PE.2008.0072 du 27 août 2008</w:t>
      </w:r>
    </w:p>
    <w:p>
      <w:r>
        <w:t>IT: VD_OMNI PE.2008.0072 del 27 agosto 2008</w:t>
      </w:r>
    </w:p>
    <w:p>
      <w:pPr>
        <w:pStyle w:val="Heading2"/>
      </w:pPr>
      <w:r>
        <w:t>Regeste</w:t>
      </w:r>
    </w:p>
    <w:p>
      <w:r>
        <w:t>AX.________ c/Service de la population (SPOP) | Dans un arrêt récent (1er juillet 2008), le TAF a retenu que la procédure de renvoi est soumise au nouveau droit lorsqu'elle est déclenchée après le 1er janvier 2008 (i. e. notamment lorsque les autorités cantonales informent l'étranger qu'il doit quitter le territoire et qu'un délai de départ lui est imparti). Or, la LEtr ne prévoit plus la possibilité de prononcer un renvoi du canton, ni la possibilité pour l'ODM d'étendre ce renvoi à la Suisse. Dans ces circonstances, toujours selon l'arrêt précité, il appartient à l'autorité cantonale de prononcer le renvoi de Suisse, en conformité au nouveau droit (cf. art. 66 LEtr). En l'état actuel de la jurisprudence fédérale, le canton doit ainsi examiner, notamment, si le renvoi contrevient à l'art. 3 CEDH.</w:t>
      </w:r>
    </w:p>
    <w:p>
      <w:pPr>
        <w:pStyle w:val="Heading2"/>
      </w:pPr>
      <w:r>
        <w:t>Erwägungen</w:t>
      </w:r>
    </w:p>
    <w:p>
      <w:r>
        <w:rPr>
          <w:b/>
        </w:rPr>
        <w:t>E. 1</w:t>
      </w:r>
    </w:p>
    <w:p>
      <w:r>
        <w:t>La nouvelle loi fédérale du 16 décembre 2005 sur les étrangers (LEtr; RS 142.20) entrée en vigueur le 1 er janvier 2008 abroge et remplace l'ancienne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La recourante a d'abord présenté une demande pour suivre un traitement médical, au terme duquel elle avait l'intention de retourner dans son pays (v. lettre DUPA du 5.11.2003). Il convient dès lors d'examiner si les conditions de l'art. 33 OLE, dont la teneur est la suivante, sont remplies en l'espèce: Art. 33  Séjours pour traitement médical Des autorisations de séjour peuvent être accordées à des personnes devant suivre un traitement médical, lorsque: a.   La nécessité du traitement est attestée par un certificat médical; b.   le traitement se déroule sous contrôle médical; c.   les moyens financiers nécessaires sont assurés. Il n'est pas contesté que l'état de santé de la recourante nécessite un traitement, qui se déroule sous contrôle médical (art. 33 let. a et b OLE). Il est toutefois établi que l'intéressée ne dispose d'aucune ressource financière propre et qu'elle est entièrement à la charge de l'Etat qui subvient à ses besoins par le versement d'un forfait et le paiement de ses frais de logement. Une autorisation de séjour pour traitement médical ne peut donc être délivrée, la condition de l'autonomie financière (art. 33 let. c OLE) n'étant pas satisfaite.</w:t>
      </w:r>
    </w:p>
    <w:p>
      <w:r>
        <w:rPr>
          <w:b/>
        </w:rPr>
        <w:t>E. 3</w:t>
      </w:r>
    </w:p>
    <w:p>
      <w:r>
        <w:t>Il sied de déterminer si la recourante peut prétendre à l'octroi d'une autorisation sur la base de l'art. 36 OLE, ainsi libellé: Art. 36  Autres étrangers sans activité lucrative Des autorisations de séjour peuvent être accordées à d'autres étrangers n'exerçant pas une activité lucrative lorsque des raisons importantes l'exigent. En l'espèce, la recourante n'exerce pas d'activité lucrative, pas plus qu'elle n'allègue de perspectives concrètes à cet égard, mais elle déclare que son intention est bien d'entreprendre une telle activité. On peut ainsi se demander s'il convient d'envisager l'application de l'art. 36 OLE, réservé aux étrangers sans activité lucrative, ou de l'art. 13 let. f OLE destiné aux étrangers disposant d'une place de travail ou dont un employeur a présenté une demande de main-d'¿uvre en leur faveur. La question souffre de demeurer indécise, dès lors que les principes qui ont été dégagés par la jurisprudence du Tribunal fédéral dans le cadre de l'examen de l'art. 13 let. f OLE sont applicables par analogie à l'appréciation des demandes d'autorisation de séjour fondées sur l'art. 36 OLE (v. notamment TA PE.2006.0447 du 14 décembre 2007 consid. 2 et les arrêts cités).</w:t>
      </w:r>
    </w:p>
    <w:p>
      <w:r>
        <w:rPr>
          <w:b/>
        </w:rPr>
        <w:t>E. 4</w:t>
      </w:r>
    </w:p>
    <w:p>
      <w:r>
        <w:t>Selon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a) D'après les art. 52 let.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donc deux décisions, soit celle de l¿autorité fédérale sur l¿exception aux mesures de limitation et celle de l¿autorité cantonale qui est la délivrance de l¿autorisation de séjour proprement dite (qui concrétise sa décision antérieure de proposer l'exemption). Dans un arrêt de principe TA PE.2006.0451 du 23 avril 2007, la jurisprudence a précisé que l e SPOP est tenu de transmettre le dossier à l'ODM comme objet de sa compétence selon l'art. 52 let. a OLE, mis en relation avec l'art. 13 let. f OLE, lorsque l'octroi d'une autorisation conformément aux dispositions de l'ancienne LSEE n'entre pas en ligne de compte, mais que les conditions d'un cas de rigueur au sens de l'art. 13 let. f OLE - suivant les critères développés par l'ODM et le Tribunal fédéral - sont apparemment remplies.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w:t>
      </w:r>
    </w:p>
    <w:p>
      <w:r>
        <w:rPr>
          <w:b/>
        </w:rPr>
        <w:t>E. 5</w:t>
      </w:r>
    </w:p>
    <w:p>
      <w:r>
        <w:t>a) Le Tribunal fédéral a jugé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La recourante est restée en Suisse alors qu'elle n'avait pas d'autorisation de séjour, son visa touristique étant venu à échéance. Par la suite, il est établi que le comportement de la recourante n'a pas été exemplaire. A deux reprises, elle a exercé une activité lucrative sans y être autorisée, avant de se légitimer sous une fausse identité, afin de pouvoir bénéficier de soins médicaux. Elle ne s'est pas annoncée au bureau des étrangers de sa commune de domicile alors qu'elle y était tenue. Ce sont finalement les services hospitaliers qui ont effectué la démarche auprès de l'autorité intimée et qui ont convaincu la patiente de s'annoncer auprès du bureau communal des étrangers. Quand bien même certains des comportements de la recourante peuvent s'expliquer par la situation difficile dans laquelle elle se trouvait, notamment en raison des relations conflictuelles avec les membres de sa famille et de ses problèmes de santé, il n'en reste pas moins qu'elle s'est rendue coupable d'infractions. Sa condamnation à une peine d'emprisonnement avec sursis a d'ailleurs été réduite, mais néanmoins maintenue par le Tribunal de police. On relèvera ensuite que l'intéressée a vécu au Sénégal auprès de sa mère jusqu'à l'âge de 21 ans, c'est-à-dire qu'elle y passé toute son enfance et une partie de sa jeunesse. Elle y a conservé par la force des choses des attaches et des liens culturels forts et ne peut donc prétendre ne pouvoir vivre qu'en Suisse, où la durée de son séjour atteindra six ans en juillet 2008. Venue apparemment en Suisse pour rejoindre des membres de sa famille - il a notamment été relevé que c'est son père qui aurait requis sa venue - elle n'a toutefois pas trouvé auprès d'eux l'appui escompté, qu'il soit financier ou affectif. La famille a au contraire rencontré d'importantes difficultés relationnelles et les liens familiaux ont été rompus. La recourante a d'ailleurs émis à deux reprises le voeu de retourner au Sénégal (lettre DUPA du 5.11.2004 et lettre explicative du 8.9.2005), à une époque où, il est vrai, elle ne se savait pas encore atteinte du VIH qui n'a été diagnostiqué qu'au mois de novembre 2005. Quant à ses projets de mariage avec Y.________, encore mentionnés lors de l'audience du Tribunal de police le 31 août 2006 (v. jugement consid. 2 al. 3 "AX.________ a le projet d'épouser prochainement Y.________, ressortissant suisse, qui est son ami depuis décembre 2002" ), ils n'ont manifestement pas été concrétisés. Dans son mémoire, la recourante n'invoque aucun lien qu'elle aurait tissé en Suisse avec des personnes de son entourage (voisins et/ou amis). Force est dès lors d'admettre que son intégration sociale n'est pas réussie, quelle qu'en soit d'ailleurs la raison (maladies). Reste l'engagement bénévole auprès du forum I.________, expérience qui paraît positive, mais qui doit être fortement relativisée puisque cette activité est limitée à 15 heures par semaine et qu'elle ne permet pas à l'intéressée d'acquérir une autonomie financière. En outre, il s'agit plutôt d'un soutien, étant donné le caractère de l'association qui a précisément pour vocation de veiller à l'intégration des étrangers et dont le caractère très "protecteur" permet à n'en pas douter à la recourante de trouver les appuis qui lui manquent dans son entourage (famille et amis). Il n'est pas contesté que la recourante n'est pas intégrée au plan professionnel. Elle n'exerce pas d'activité lucrative et vit grâce à l'aide financière des services sociaux. Si elle souhaite occuper un emploi dans un proche avenir, selon ses propres déclarations, elle n'a fait état d'aucune perspective concrète en ce sens. A ce stade de l'examen de la situation de la recourante, celle-ci ne se trouve pas dans un cas de rigueur. Il reste à examiner si la recourante peut se prévaloir de son état de santé pour obtenir une autorisation de séjour.</w:t>
      </w:r>
    </w:p>
    <w:p>
      <w:r>
        <w:rPr>
          <w:b/>
        </w:rPr>
        <w:t>E. 6</w:t>
      </w:r>
    </w:p>
    <w:p>
      <w:r>
        <w:t>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ATF 2A.448/2001 du 25 avril 2002 citant les ATF 2A.429/1998 du 5 mars 1999 et 2A.78/1998 du 25 août 1998 ainsi que Mario Gattiker, Schwerwiegende persönliche Notlage im Sinne von Art. 44 Asylgesetz, in Asyl 2000, p. 9). b) En l'occurrence, la recourante souffre d'un état anxio-dépressif, d'une infection VIH stade A1 diagnostiquée en novembre 2005 - soit trois ans après son entrée en Suisse - et d'asthme. S'agissant de son état psychique, la recourante a été hospitalisée du 23 septembre 2004 au 8 novembre 2004 (voire également en août 2004) à la suite d'une tentative de suicide. Pendant cette période, elle a bénéficié d'un traitement médicamenteux, d'une prise en charge occupationnelle d'ergothérapie, d'entretiens médico-infirmiers réguliers et d'une prise en charge sociale. Depuis sa sortie d'hôpital, elle est restée régulièrement suivie en ambulatoire. Ainsi, selon l'attestation du 3 novembre 2006 du CHUV (cf. lettre G), elle présentait alors une symptomatologie dépressive (trouble dépressif récurrent F33.00; difficultés liées à l'entourage immédiat et à l'environnement social Z63, Z60) et des troubles du sommeil nécessitant un traitement médicamenteux quotidien ainsi qu'une psychothérapie de soutien à raison d'une séance toutes les deux-trois semaines environ; le diagnostic de trouble dépressif récurrent imposait un suivi psychothérapeutique et pharmacologique au long cours. Le certificat médical du 14 juin 2007 confirmait cette attestation. Il en va de même, globalement, de l'attestation de la Policlinique du Département de psychiatrie du CHUV du 4 février 2008, mentionnant un lourd traitement psychotrope en raison d'un état anxio-dépressif sévère évoluant de longue date. En ce qui concerne l'infection VIH, diagnostiquée en novembre 2005, elle se situe au stade A1, avec "Nadir des CD4 681 cell/mm 3 en mars 2007". Selon le certificat médical du 14 juin 2007 produit le 2 juillet suivant, l'infection était pour le moment asymptomatique et sans nécessité de traitement antirétroviral même si l'évolution des mois précédents montrait une baisse progressive des CD4, ce qui faisait craindre une péjoration au niveau immunitaire, telle qu'elle nécessiterait un traitement antirétroviral. Toujours selon ce certificat, qui donnait de surcroît la liste des médicaments administrés, des contrôles cliniques de laboratoire étaient nécessaires tous les trois mois, afin de détecter une baisse de l'immunité et de pouvoir débuter à temps une thérapie antirétrovirale. Le certificat médical du 12 février 2008 confirmait globalement ces éléments. Le problème d'asthme bronchique, à prendre en considération, est moins significatif. Il découle de ce qui précède que la recourante souffre d'une sérieuse atteinte à sa santé qui nécessite, pendant une longue période des soins permanents. b) Encore faut-il que cette aide soit indisponible dans son pays d'origine. aa) Selon les explications du médecin-conseil de l'Ambassade de Suisse au Sénégal, la patiente est assurée de trouver au Sénégal une consultation psychiatrique et un suivi médicamenteux à cet égard, dès lors qu'il existe dans ce pays trois centres de prise en charge psychiatrique. Par contre, la prise en charge occupationnelle d'ergothérapie et la prise en charge sociale sont pratiquement inexistantes, surtout si on les compare aux prestations fournies en Suisse (v. lettre Dr C.______ du 10.8.2005). S'agissant en particulier du traitement du VIH, il peut être dispensé au Sénégal qui dispose d'infrastructures médico-techniques et où les médicaments utilisés dans ce traitement sont disponibles et fournis gratuitement ou quasiment gratuitement (v. lettre Dr C.________ du 31.7.2006). En revanche, les médecins traitants du Service de psychiatrie générale du CHUV relèvent que l'accessibilité aux soins médicaux au Sénégal dépend grandement des revenus économiques des personnes concernées. Cela signifie que l'absence de moyens financiers de la recourante serait - vraisemblablement - préjudiciable pour son état de santé psychique, réserves s'appliquant également au suivi médical de son VIH (v. lettre du Service de psychiatrie générale du CHUV du 3.11.2006). La recourante a quant à elle relevé qu'elle devrait tôt ou tard suivre une trithérapie et que celle-ci ne lui serait pas accessible au Sénégal, faute de moyens financiers, les traitements antirétroviraux n'étant pas accessibles aux personnes démunies au Sénégal. De plus, les personnes atteintes du VIH y étaient très mal vues et rejetées. Un renvoi dans ce pays l'exposerait à un traitement qui pouvait être qualifié d'inhumain. bb) S'agissant du VIH, l'attestation du médecin conseil de l'Ambassade, selon lequel les médicaments - y compris d'éventuels traitements antirétroviraux destinés à traiter les infections - sont disponibles gratuitement sur place est convaincante. Il faut en déduire que les contrôles trimestriels de laboratoire en vue de détecter la nécessité d'une telle trithérapie peuvent être menés sur place. Dans la mesure où la recourante nécessite d'autres médicaments, traitant la dépression et l'asthme, ceux-ci peuvent lui être envoyés dans son pays d'origine, à supposer qu'elle ne puisse les y obtenir. La question est plus délicate en ce qui concerne les consultations psychiatriques ambulatoires. Même s'il existe trois centres de prise en charge psychiatrique au Sénégal, cela ne signifie pas que la recourante puisse en bénéficier au vu de ses moyens financiers. Toutefois, à elle seule, cette absence de consultation ne saurait conduire à reconnaître une situation de rigueur à une jeune femme ayant toujours vécu illicitement en Suisse, totalement dépendante de l'assistance sociale et sans perspective concrète de travail. A cet égard, on soulignera que le Tribunal fédéral (ATF 2A.214/2002 du 23 août 2002) a confirmé le refus de prolonger l'autorisation de séjour d'une ressortissante du Ghana, épouse d'un ressortissant suisse, condamnée à quatre ans de privation de liberté en raison de diverses violations de la loi fédérale sur les stupéfiants, atteinte du VIH, sous trithérapie antirétrovirale et sous traitement psychiatrique, étant précisé qu'un renvoi pourrait la pousser au suicide. Le Tribunal fédéral a retenu à cet égard qu'une grave atteinte à la santé ainsi que les possibilités de traitement devaient être prises en considération dans la pesée des intérêts à opérer en application des art. 7 et 10 LSEE. Toutefois, une sérieuse atteinte à la santé ne fondait pas, en soi, un droit de présence (de longue durée) en Suisse, pas plus qu'elle ne constituait un obstacle à une expulsion ou à un non renouvellement de l'autorisation de séjour. L'état de santé n'était qu'un des éléments à prendre en compte. En l'espèce, en définitive, un renvoi de la recourante dans son pays d'origine ne la placerait pas dans une situation plus grave que celle de la plupart de ses compatriotes souffrant des mêmes atteintes, mais qui ne peuvent exiger de ce fait une autorisation de séjour en Suisse. Cette jurisprudence concerne une femme également ressortissante d'Afrique et souffrant globalement des mêmes atteintes que la recourante (bien que n'étant pas sous traitement antirétroviral), et doit être étendue à celle-ci. c) En conclusion, on peut donc attendre de l'intéressée encore jeune et depuis peu d'années en Suisse qu'elle se réadapte aux conditions de vie de son pays où elle ne manquera pas de retrouver des membres de sa famille, notamment sa mère.</w:t>
      </w:r>
    </w:p>
    <w:p>
      <w:r>
        <w:rPr>
          <w:b/>
        </w:rPr>
        <w:t>E. 7</w:t>
      </w:r>
    </w:p>
    <w:p>
      <w:r>
        <w:t>La recourante se prévaut de l'art. 3 CEDH pour s'opposer à son refoulement et invoque à cet égard son état de santé. Selon la jurisprudence relative à la LSEE, les moyens selon lesquels le renvoi de l¿étranger dans son pays d¿origine ou de provenance, ou dans un Etat tiers, est contraire aux engagements de la Suisse relevant du droit international (art. 14a al. 3 LSEE), doivent être examinés dans le cadre de la procédure menée par l'ODM, étendant la décision cantonale de renvoi du canton et enjoignant à l'étranger de quitter la Suisse (art. 12 al. 3 LSEE; v. ATF 126 II 145 consid. 4c/bb p. 159 s.; 125 II 105 consid. 3b p. 111, arrêt PE.2006.0333 du 4 septembre 2006). Toutefois, par arrêt du 1 er juillet 2008 (C-2918/2008), le Tribunal administratif fédéral a retenu que la procédure de renvoi est soumise au nouveau droit lorsqu'elle est déclenchée après le 1 er janvier 2008 (à savoir notamment lorsque les autorités cantonales informent l'étranger du fait qu'il doit quitter le territoire et qu'un délai de départ lui est imparti). Or, la LEtr ne prévoit plus, ni la possibilité de prononcer un renvoi cantonal, ni la possibilité de transformer l'ordre de quitter un canton en ordre de quitter la Suisse. En effet, cette nouvelle législation ne confère plus à l'ODM la compétence de transformer l'ordre de quitter un canton en ordre de quitter la Suisse, comme le prévoyait l'ancien droit (cf. art. 12 al. 3 LSEE). Le législateur a justifié ce changement dans la répartition des compétences entre les autorités cantonale et fédérale par le fait que l'expérience avait montré que l'étranger renvoyé d'un canton n'obtenait pas, en règle générale, d'autorisation d'un autre canton et qu'il n'était pas nécessaire, dans ces conditions, d'obtenir une décision des autorités fédérales, ce qui ne ferait qu'alourdir la procédure (cf. Message du Conseil fédéral concernant la loi sur les étrangers du 8 mars 2002, ad art. 65, FF 2002 3568). Dans ces circonstances, toujours selon l'arrêt du 1 er juillet 2008 précité, il appartient à l'autorité cantonale de prononcer le renvoi de Suisse, en conformité au nouveau droit (cf. art. 66 LEtr). On rappellera que l'art. 66 LEtr a la teneur suivante: Art. 66      Renvoi ordinaire 1 Les autorités compétentes renvoient de Suisse tout étranger dont l¿autorisation est refusée, révoquée ou n¿a pas été prolongée. 2 Le renvoi ordinaire est assorti d¿un délai de départ raisonnable. 3 Lorsque l¿étranger attente de manière grave ou répétée à la sécurité et l¿ordre publics, les met en danger ou représente une menace pour la sécurité intérieure ou extérieure, le renvoi est immédiatement exécutoire. Il sied ainsi d'examiner dans la présente procédure si le renvoi de la recourante de Suisse contrevient à l'art. 3 CEDH. Cette disposition interdit la torture ainsi que les traitements inhumains ou dégradants. Elle recouvre les difficultés à bénéficier des soins médicaux (ATF 2A.28/2004 du 7 mai 2004 consid. 3.6 in fine, 2A.214/2002 du 23 août 2002 consid. 3.6; CourEDH, arrêt D. c. Royaume-Uni du 2 mai 1997, Recueil 1997 III p. 777 ss). Toutefois, conformément au considérant 6 qui précède, la recourante pourra être soignée de manière adéquate dans son pays d'origine, de sorte qu'un renvoi n'est de toute façon pas contraire à l'art. 3 CEDH. Vu ce qui précède, le SPOP n'a pas violé le droit fédéral, ni abusé de son pouvoir d'appréciation, en refusant la transmission du dossier à l'autorité fédérale pour qu'elle statue sur l'octroi éventuel d'une exemption aux mesures de limitation, dès lors que les circonstances du dossier permettent clairement d'exclure que la recourante puisse se trouver dans un cas de détresse personnelle grave en cas de retour dans son pays. Dans ces conditions, c'est à juste titre que l'autorité intimée a refusé l'octroi d'une autorisation de séjour et imparti un délai à la recourante pour quitter le canton de Vaud.</w:t>
      </w:r>
    </w:p>
    <w:p>
      <w:r>
        <w:rPr>
          <w:b/>
        </w:rPr>
        <w:t>E. 8</w:t>
      </w:r>
    </w:p>
    <w:p>
      <w:r>
        <w:t>Les considérants qui précèdent conduisent au rejet du recours. Compte tenu de la situation financière de la recourante, les frais sont laissés à la charge de l'Etat. Vu l'issue du pourvoi, le SPOP est chargé de fixer à la recourante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