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PE.2008.0020 vom 25. Juni 2008</w:t>
      </w:r>
    </w:p>
    <w:p>
      <w:r>
        <w:t>VD Tribunal cantonal, 2008-06-25, FR</w:t>
      </w:r>
    </w:p>
    <w:p>
      <w:r>
        <w:rPr>
          <w:b/>
        </w:rPr>
        <w:t xml:space="preserve">Quelle: </w:t>
      </w:r>
      <w:r>
        <w:t>https://mcp.opencaselaw.ch/entscheid/vd_omni_PE.2008.0020</w:t>
      </w:r>
    </w:p>
    <w:p>
      <w:r>
        <w:t>FR: VD_OMNI PE.2008.0020 du 25 juin 2008</w:t>
      </w:r>
    </w:p>
    <w:p>
      <w:r>
        <w:t>IT: VD_OMNI PE.2008.0020 del 25 giugno 2008</w:t>
      </w:r>
    </w:p>
    <w:p>
      <w:pPr>
        <w:pStyle w:val="Heading2"/>
      </w:pPr>
      <w:r>
        <w:t>Regeste</w:t>
      </w:r>
    </w:p>
    <w:p>
      <w:r>
        <w:t>c/Service de la population (SPOP) | cas d'extrême rigueur nié pour un requérant qui allègue des maltraitances psychologiques conjugales par le fait que son épouse se prostitue.</w:t>
      </w:r>
    </w:p>
    <w:p>
      <w:pPr>
        <w:pStyle w:val="Heading2"/>
      </w:pPr>
      <w:r>
        <w:t>Erwägungen</w:t>
      </w:r>
    </w:p>
    <w:p>
      <w:r>
        <w:rPr>
          <w:b/>
        </w:rPr>
        <w:t>E. 1</w:t>
      </w:r>
    </w:p>
    <w:p>
      <w:r>
        <w:t>Aux termes de l'art. 4 al. 1 de la loi du 18 décembre 1989 sur la juridiction et la procédure administratives (ci-après : LJPA; RSV 173.36), la Cour de droit administratif et public du Tribunal cantonal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contre les décisions du Service de la population. Déposé en temps utile, selon les formes prescrites par la loi, le pourvoi du recourant est formellement recevable, de sorte qu'il y a lieu d'entrer en matière sur le fond.</w:t>
      </w:r>
    </w:p>
    <w:p>
      <w:r>
        <w:rPr>
          <w:b/>
        </w:rPr>
        <w:t>E. 2</w:t>
      </w:r>
    </w:p>
    <w:p>
      <w:r>
        <w:t>La nouvelle loi fédérale du 16 décembre 2005 sur les étrangers (ci-après : LEtr, RS 142.20), entrée en vigueur le 1 er janvier 2008, remplace l'ancienne loi fédérale du 26 mars 1931 sur le séjour et l'établissement des étrangers (ci-après : LSEE). Selon l'art. 126 al. 1 LEtr, les demandes déposées avant l'entrée en vigueur de la présente loi sont régies par l'ancien droit. En l'espèce, la demande du recourant remonte au 27 mars 2007 de sorte que l'application de la LEtr doit être écartée et le litige examiné à l'aune des dispositions de la LSEE.</w:t>
      </w:r>
    </w:p>
    <w:p>
      <w:r>
        <w:rPr>
          <w:b/>
        </w:rPr>
        <w:t>E. 3</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36 lit. a et c LJPA). La loi sur le séjour et l¿établissement des étrangers du 26 mars 1931 (LSEE)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4</w:t>
      </w:r>
    </w:p>
    <w:p>
      <w:r>
        <w:t>a) 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d'une autorisation de séjour. Pour les autorisations, les autorités doivent tenir compte des intérêts moraux et économiques du pays, ainsi que du degré de surpopulation étrangère (art. 16 LSEE). Selon l'art. 7 al. 1 LSEE, le conjoint étranger d'un ressortissant suisse a droit à l'octroi et à la prolongation de l'autorisation de séjour. Après un séjour régulier et ininterrompu de cinq ans, il a droit à une autorisation d'établissement. L'art.</w:t>
      </w:r>
    </w:p>
    <w:p>
      <w:r>
        <w:rPr>
          <w:b/>
        </w:rPr>
        <w:t>E. 7</w:t>
      </w:r>
    </w:p>
    <w:p>
      <w:r>
        <w:t>Au vu des considérants qui précèdent, le recours doit être rejeté sous suite de frais à la charge du recourant qui n'a pas droit à des dépens (art. 55 al. 1 LJPA). Il incombera au SPOP de fixer au recourant un nouveau délai de départ et de veiller à l'exécution de cette mesure de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