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PE.2008.0005 vom 17. März 2008</w:t>
      </w:r>
    </w:p>
    <w:p>
      <w:r>
        <w:t>VD Tribunal cantonal, 2008-03-17, FR</w:t>
      </w:r>
    </w:p>
    <w:p>
      <w:r>
        <w:rPr>
          <w:b/>
        </w:rPr>
        <w:t xml:space="preserve">Quelle: </w:t>
      </w:r>
      <w:r>
        <w:t>https://mcp.opencaselaw.ch/entscheid/vd_omni_PE.2008.0005</w:t>
      </w:r>
    </w:p>
    <w:p>
      <w:r>
        <w:t>FR: VD_OMNI PE.2008.0005 du 17 mars 2008</w:t>
      </w:r>
    </w:p>
    <w:p>
      <w:r>
        <w:t>IT: VD_OMNI PE.2008.0005 del 17 marzo 2008</w:t>
      </w:r>
    </w:p>
    <w:p>
      <w:pPr>
        <w:pStyle w:val="Heading2"/>
      </w:pPr>
      <w:r>
        <w:t>Regeste</w:t>
      </w:r>
    </w:p>
    <w:p>
      <w:r>
        <w:t>X. c/Service de la population (SPOP) | Confirmation de l'irrecevabilité d'une demande de réexamen à défaut de faits nouveaux, pertinents et inconnus du recourant au cours de la procédure antérieure.</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cette loi sont régies par l’ancien droit. La présente demande ayant été formulée avant le 1 er janvier 2008, le litige doit être examiné à l'aune de l’ancienne LSEE.</w:t>
      </w:r>
    </w:p>
    <w:p>
      <w:r>
        <w:rPr>
          <w:b/>
        </w:rPr>
        <w:t>E. 2</w:t>
      </w:r>
    </w:p>
    <w:p>
      <w:r>
        <w:t>a) Le Tribunal fédéral a déduit de l'art. 4 aCst. (art. 29 al. 1 et 2 nouvelle Constitution fédérale du 18 avril 1999)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2C_159/2007 du 2 août 2007 ; 127 I 133 consid. 6 ;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Ib 246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IV 317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3</w:t>
      </w:r>
    </w:p>
    <w:p>
      <w:r>
        <w:t>En l'espèce, le recourant se prévaut des mêmes éléments invoqués à l’appui de sa première demande de réexamen. En effet, il allègue en particulier son accident subi en février 2003 ainsi que son activité professionnelle auprès de X.________ SA. Aucun fait nouveau, pertinent et inconnu du recourant au cours de la procédure antérieure n'a dès lors été présenté. Le fait de souligner qu'il va peut-être subir une cinquième opération, mais qu'il n'est pas encore sûr à cet égard, au vu des conséquences que cette intervention pourrait impliquer, ne saurait justifier d'entrer en matière sur sa demande. Il ne s'agit en effet pas d'une circonstance nouvelle, celle-ci ayant déjà été alléguée lors de sa première demande de réexamen. Il en est de même de son intégration professionnelle. S'agissant des autres circonstances invoquées, comme la présence de membres de sa famille en Suisse, elles étaient déjà connues du recourant lors de la procédure antérieure. La durée de son séjour en Suisse, ainsi que sa bonne intégration dans ce pays, constituent également des éléments qui ont déjà été pris en compte lors des précédentes décisions. Le courrier du chef de clinique du 20 décembre 2007 produit par le recourant le 19 février 2008 ne saurait modifier cette appréciation ; il ressort de ce document que le recourant se plaint de douleurs persistantes accompagnées d’une diminution de la mobilité du poignet et de sa force. Il suivait de ce fait un nouveau traitement antalgique par acupuncture ; une cinquième opération n’était pas prévue dans l’immédiat, mais son éventualité devrait être réévaluée à l’issue du nouveau traitement. Il est ainsi à nouveau  question de l’opportunité d’une cinquième intervention, ce qui a déjà été allégué dans la procédure précédente. Comme il l’a déjà été rappelé, les demandes de nouvel examen ne sauraient servir à remettre continuellement en question les décisions administratives. Le recourant se trouvant actuellement dans une situation dans laquelle ses demandes ont toutes été déboutées, et étant même sous le coup d'une décision de l'Office fédéral des migrations étendant son renvoi à tout le territoire de la Confédération, il apparaît que cette nouvelle demande de réexamen n'est qu'un moyen pour le recourant d'obtenir un sursis à son renvoi de Suisse. Il convient par conséquent de confirmer le prononcé d'irrecevabilité de la demande de réexamen déposée par le recourant, à défaut de faits nouveaux, pertinents et inconnus de ce dernier au cours de la procédure antérieure.</w:t>
      </w:r>
    </w:p>
    <w:p>
      <w:r>
        <w:rPr>
          <w:b/>
        </w:rPr>
        <w:t>E. 4</w:t>
      </w:r>
    </w:p>
    <w:p>
      <w:r>
        <w:t>Il résulte des considérants qui précèdent que le recours doit être rejeté et la décision attaquée confirmée. Au vu de ce résultat, les frais de justice seront mis à la charge du recourant (art. 55 al. 1 LJPA).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