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PE.2007.0577 vom 21. August 2008</w:t>
      </w:r>
    </w:p>
    <w:p>
      <w:r>
        <w:t>VD Tribunal cantonal, 2008-08-21, FR</w:t>
      </w:r>
    </w:p>
    <w:p>
      <w:r>
        <w:rPr>
          <w:b/>
        </w:rPr>
        <w:t xml:space="preserve">Quelle: </w:t>
      </w:r>
      <w:r>
        <w:t>https://mcp.opencaselaw.ch/entscheid/vd_omni_PE.2007.0577</w:t>
      </w:r>
    </w:p>
    <w:p>
      <w:r>
        <w:t>FR: VD_OMNI PE.2007.0577 du 21 août 2008</w:t>
      </w:r>
    </w:p>
    <w:p>
      <w:r>
        <w:t>IT: VD_OMNI PE.2007.0577 del 21 agosto 2008</w:t>
      </w:r>
    </w:p>
    <w:p>
      <w:pPr>
        <w:pStyle w:val="Heading2"/>
      </w:pPr>
      <w:r>
        <w:t>Regeste</w:t>
      </w:r>
    </w:p>
    <w:p>
      <w:r>
        <w:t>c/Service de la population (SPOP) | Ressortissant égyptien séparé de son épouse ressortissante communautaire moins d'un an après le mariage. Absence d'enfant commun, mais naissance d'un enfant hors mariage pour l'épouse. Aucun espoir de réconciliation dans ces conditions et mariage vidé de toute substance. Pas de renouvellement d'autorisation de séjour CE/AELE possible. Rejet du recours.</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Les dispositions transitoires relatives à la LEtr doivent être appliquées par analogie à cette ordonnance. La présente demande ayant été formulée avant le 1 er janvier 2008, le litige doit être examiné à l'aune de l'ancienne LSEE.</w:t>
      </w:r>
    </w:p>
    <w:p>
      <w:r>
        <w:rPr>
          <w:b/>
        </w:rPr>
        <w:t>E. 2</w:t>
      </w:r>
    </w:p>
    <w:p>
      <w:r>
        <w:t>Le recourant a requis la tenue d¿une audience pour pouvoir être entendu par le tribunal. Les parties ont le droit d'être entendues (art. 29 al. 2 Cst.,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 procédure est en principe écrite (art. 44 al. 1 de la loi du 18 décembre 1989 sur la juridiction et la procédure administratives ¿ LJPA, RSV 173.36). Sans doute, le juge instructeur peut-il ordonner l¿audition des parties (art. 48 al. 1 let. b LJPA). Il lui est toutefois loisible de se dispenser de cette mesure lorsqu¿elle n¿est pas nécessaire pour résoudre les questions soulevées par le recours. Le droit d¿être entendu ne comprend pas davantage le droit inconditionnel à une audience, lorsque, comme en l¿occurrence, le dossier est complet, que les questions à trancher sont essentiellement d¿ordre juridique et que l¿on ne se trouve pas dans un cas analogue à la privation de liberté (cf. ATF 122 II 464 consid. 4c p. 469/470; 2P.323/2A.751/2006 du 27 mars 2007, consid. 3).</w:t>
      </w:r>
    </w:p>
    <w:p>
      <w:r>
        <w:rPr>
          <w:b/>
        </w:rPr>
        <w:t>E. 3</w:t>
      </w:r>
    </w:p>
    <w:p>
      <w:r>
        <w:t>a) Aux termes de l'art. 1a LSEE,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et entré en vigueur le 1 er juin 2002 (ci-après : ALCP ; RS 0.142.112.681) n'en dispose pas autrement ou si ladite loi prévoit des dispositions plus favorables. b) En vertu de l'art. 4 ALCP, le droit de séjour des ressortissants d'une partie contractante sur le territoire d'une autre partie contractante est garanti sous réserve de l'art. 10 et conformément aux dispositions arrêtées dans l'Annexe I (ci-après : annexe I ALCP). Aux termes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c) Le Tribunal fédéral s'est prononcé sur la portée de cette disposition (ATF 130 II 113). D'après cette jurisprudence, l'art. 3 annexe I ALCP confère au conjoint étranger d'un travailleur communautaire disposant d'une autorisation de séjour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L¿art.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p. 132-133). Le Tribunal fédéral a considéré que les critères élaborés par la jurisprudence rendue à propos de l¿art. 7 al. 1 LSEE, en particulier tenant à l¿abus de droit à se prévaloir d¿un mariage n¿existant plus que formellement, s¿appliquaient mutatis mutandis afin de garantir le respect du principe de non-discrimination inscrit à l¿art. 2 ALCP et d¿assurer une certaine cohésion d¿ensemble au système. Le Tribunal fédéral a précisé que les raisons ayant conduit les époux à se séparer ou leur part respective de responsabilité dans la séparation étaient sans pertinence.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En d¿autres termes,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d) En l¿espèce, les époux, mariés en avril 2004, se sont séparés en mars 2005, soit après moins d¿une année de mariage. La séparation officielle, prononcée une première fois pour une durée d¿un an, a été reconduite pour une seconde durée d¿une année, soit jusqu¿au 30 avril 2007. Depuis cette date, les époux n¿ont jamais tenté de reprendre la vie commune, même de manière provisoire, et continuent de vivre séparés, ce qui implique que le couple a aujourd¿hui vécu plus longtemps séparé (près de 3 ans et demi) qu¿ensemble (onze mois). Le couple n¿a pas eu d¿enfant. En revanche, l¿épouse du recourant a donné naissance le 10 janvier 2007 à un enfant, qui est le fruit d¿une relation extra-conjugale. Si l¿on peut admettre qu¿un espoir de réconciliation existait peut-être encore lors de la première séparation du couple - dont les difficultés semblent avoir eu pour cause, dans un premier temps du moins, les problèmes relationnels entre le recourant et le premier enfant de son épouse -, on ne voit guère ce qui permet de tenir cet espoir pour réel depuis la naissance de ce second enfant, puisque le recourant est désormais confronté à la présence de deux beaux-enfants. On relèvera encore que la pétition, rédigée selon toute vraisemblance par le recourant lui-même, mentionne expressément « l¿échec ¿ de son mariage ». Dans ces conditions, force est de constater que le mariage est en réalité vidé de sa substance, de sorte que le recourant ne peut plus s¿en prévaloir pour obtenir le renouvellement de son autorisation de séjour CE/AELE.</w:t>
      </w:r>
    </w:p>
    <w:p>
      <w:r>
        <w:rPr>
          <w:b/>
        </w:rPr>
        <w:t>E. 4</w:t>
      </w:r>
    </w:p>
    <w:p>
      <w:r>
        <w:t>a) Les Directives et commentaires sur l'entrée, le séjour et le marché du travail (Directives LSEE, 3e version remaniée et adaptée, mai 2006, ci-après: les Directives) de l¿Office fédéral des migrations (ODM) prévoient ce qui suit au chiffre 654 intitulé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La durée du séjour et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Dans son Message du 8 mars 2002 concernant la loi sur les étrangers (FF 2002 p. 3469 ch. 1.3.7.6, p. 3512 et ch. 2.6 p. 3552 ad art. 49 du projet), le Conseil fédéral relevait ce qui suit: "Pour éviter des cas de rigueur, le droit de séjour du conjoint et des enfants sera maintenu même après la dissolution du mariage ou du ménage commun, lorsque des motifs personnels graves exigent la poursuite du séjour en Suisse (art. 49). (¿)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 b) Dans le cas présent, le recourant vit en Suisse depuis avril 2000, soit depuis plus de 7 ans et demi. Si cette durée n¿est pas insignifiante, elle ne saurait être prise à elle seule en considération pour justifier l¿existence d¿un cas d¿extrême gravité. Par ailleurs, le recourant n¿a pas d¿enfant. Sur le plan professionnel, il travaille depuis plusieurs années au service de 2.*************. Si l¿on peut éventuellement admettre qu¿il fait preuve de stabilité professionnelle en ayant toujours travaillé pour le compte du même employeur, on relèvera néanmoins que durant les quatre premières années de son séjour en Suisse, il y résidait en qualité d¿étudiant et ne travaillait donc qu¿à temps partiel. Seule son activité professionnelle depuis 2007 peut dès lors être prise en considération. De même, si le recourant est apprécié par son employeur, il ne fait en revanche pas état de qualifications professionnelles particulières, puisqu¿il travaille en qualité de manutentionnaire. Il est en outre faux d¿affirmer, comme il le fait dans la pétition, que son employé aurait accepté un engagement fixe de durée indéterminée. Aucune pièce du dossier ne le prouve, le dernier certificat de 2.************* du 11 juin 2008 ne faisant état d¿un tel engagement ni même de l¿intention de procéder à un engagement fixe dans un proche avenir. Le recourant n'a enfin ni dettes ni économies et n'a jamais été condamné. Il reste à examiner la question de son intégration en Suisse. X._____________ parle le français et semble bien assimilé à notre mode de vie. Les nombreux témoignages écrits versés au dossier le confirment. Toutefois, il n'a pas d'attaches particulières, familiales ou autres, dans notre pays. Hormis son frère, deux cousins et deux oncles qui vivent ici, tout le reste de sa famille (parents, frère, s¿ur) se trouve dans son pays d'origine, dans lequel il a vécu près de 23 ans et a passé les années capitales pour l¿intégration que représentent celles de l¿enfance, de l¿adolescence et du début de la vie d¿adulte. Il y a donc manifestement conservé des attaches sociales et culturelles importantes. Une réinsertion en Egypte ne devrait dès lors pas poser de problème particulier.</w:t>
      </w:r>
    </w:p>
    <w:p>
      <w:r>
        <w:rPr>
          <w:b/>
        </w:rPr>
        <w:t>E. 5</w:t>
      </w:r>
    </w:p>
    <w:p>
      <w:r>
        <w:t>En résumé, l'examen des circonstances énumérées par les Directives ne justifie nullement le maintien de l'autorisation de séjour du recourant. Cela étant, la décision entreprise s'avère pleinement fondée, l'autorité intimée n'ayant par ailleurs ni excédé ni abusé de son pouvoir d'appréciation en révoquant l'autorisation de séjour de l'intéressé. Le recours doit être rejeté et la décision entreprise confirmée. Le SPOP fixera un nouveau délai de départ au recourant (art. 12 al. 3 LSEE).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