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PE.2007.0482 vom 20. März 2008</w:t>
      </w:r>
    </w:p>
    <w:p>
      <w:r>
        <w:t>VD Tribunal cantonal, 2008-03-20, FR</w:t>
      </w:r>
    </w:p>
    <w:p>
      <w:r>
        <w:rPr>
          <w:b/>
        </w:rPr>
        <w:t xml:space="preserve">Quelle: </w:t>
      </w:r>
      <w:r>
        <w:t>https://mcp.opencaselaw.ch/entscheid/vd_omni_PE.2007.0482</w:t>
      </w:r>
    </w:p>
    <w:p>
      <w:r>
        <w:t>FR: VD_OMNI PE.2007.0482 du 20 mars 2008</w:t>
      </w:r>
    </w:p>
    <w:p>
      <w:r>
        <w:t>IT: VD_OMNI PE.2007.0482 del 20 marzo 2008</w:t>
      </w:r>
    </w:p>
    <w:p>
      <w:pPr>
        <w:pStyle w:val="Heading2"/>
      </w:pPr>
      <w:r>
        <w:t>Regeste</w:t>
      </w:r>
    </w:p>
    <w:p>
      <w:r>
        <w:t>c/Service de la population (SPOP) | Refus de l'octroi d'autorisations de séjour et du changement de canton de résidence au recourant et à ses enfants. Les enfants, en particulier l'aînée qui éprouve des difficultés d'adaptation, nécessitent un cadre et un milieu de vie stables, selon les avis de spécialistes. Depuis que les enfants fréquentent l'école et la garderie, ils se sont intégrés et ont trouvé la stabilité dont ils ont besoin. Un retour sur le canton de Genève, impliquant de nouveaux changements, leur serait dommageable. Ainsi, le centre des intérêts de la famille se trouve désormais dans le canton de Vaud, compte tenu notamment du fait que l'unique rattachement de la famille avec le canton de Genève est constitué par le domicile de l'épouse du recourant. De plus, il apparaît d'une part que son employeur accorde sa confiance au recourant et d'autre part que ce dernier est en mesure de trouver du travail dans le canton de Vaud, s'il bénéficie d'une autorisation. Par ailleurs, le recourant a bénéficié de prestations de l'assurance-chômage mais n'a pas émargé à l'aide sociale. Il ne fait pas l'objet de poursuites dans le canton de Vaud et le montant de ses poursuites dans le canton de Genève est relativement modeste (3'700 francs). Recours admis.</w:t>
      </w:r>
    </w:p>
    <w:p>
      <w:pPr>
        <w:pStyle w:val="Heading2"/>
      </w:pPr>
      <w:r>
        <w:t>Erwägungen</w:t>
      </w:r>
    </w:p>
    <w:p>
      <w:r>
        <w:rPr>
          <w:b/>
        </w:rPr>
        <w:t>E. 1</w:t>
      </w:r>
    </w:p>
    <w:p>
      <w:r>
        <w:t>Aux termes de l’art. 4 al. 1 de la loi du 18 décembre 1989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Faute pour la LSEE d’étendre le pouvoir d’examen de l’autorité de recours à l’opportunité, la Cour de droit administratif et public du Tribunal cantonal n’exerce qu’un contrôle en légalité, c’est-à-dire examine si la situation entreprise est contraire à une disposition légale ou réglementaire expresse ou relève d’un excès ou d’un abus du pouvoir d’appréciation (art. 36 let. a et c LJPA ; cf. parmi d’autres, arrêt du Tribunal administratif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principe d’aucun droit à l’obtention d’une autorisation de séjour, voire d’établissement, sous réserve des dispositions contraires résultant des traités internationaux et de la loi, ce qui n'est manifestement pas le cas en l'espèce.</w:t>
      </w:r>
    </w:p>
    <w:p>
      <w:r>
        <w:rPr>
          <w:b/>
        </w:rPr>
        <w:t>E. 6</w:t>
      </w:r>
    </w:p>
    <w:p>
      <w:r>
        <w:t>a) Aux termes de l'art. 8 al. 1 LSEE, les autorisations de séjour ou d'établissement ne sont valables que pour le canton qui les a délivrées. Dans sa jurisprudence, le Tribunal administratif a rappelé à plusieurs reprises que les articles 8 LSEE et 14 RSEE consacraient le principe de la territorialité des autorisations de séjour, la circonstance de rattachement étant non pas le lieu de séjour mais le centre des activités. Appliquant ces principes, il a notamment délivré une autorisation de séjour pour une recourante séparée de son mari et venant vivre avec ses deux enfants dans le canton, en considérant que le centre des intérêts privés et familiaux s'y trouvait dès lors que les enfants y étaient scolarisés et que la recourante y travaillait (arrêt TA PE.1995.0569, du 24 janvier 1996). Il a également délivré une autorisation à un recourant venant du Valais, au motif que l'intéressé avait trouvé un emploi dans le canton de Vaud après avoir entrepris des efforts pour se sortir de sa dépendance de produits stupéfiants (PE.1995.0786, du 20 novembre 1996). Il a en revanche refusé d'autoriser le changement de canton pour une famille au bénéfice de l'action Bosnie-Herzegovine, faute de revenu provenant du travail (chômage) et parce qu'elle n'avait pas de parents dans le canton (PE.1996.0566, du 7 novembre 1996). En résumé et conformément à la jurisprudence rappelée ci-dessus, une autorisation de changer de canton peut être délivrée lorsque le centre des activités et des intérêts de l'étranger se trouve dans le canton de Vaud. Jouent à cet égard un rôle déterminant le lieu de travail et, cas échéant, la présence éventuelle d'enfants scolarisés (arrêts TA PE.1994.0569 du 24 janvier 1996, déjà cité, et PE.1997.0695, du 24 mars 1998). b) Comme l’a relevé le recourant, la situation de la famille a changé depuis son départ du canton de Genève, en particulier s’agissant des enfants. Les avis des divers acteurs sociaux entourant Y._____________ et Z._____________ sont unanimes. Les enfants ont besoin d’un cadre et d’un milieu de vie stable. Un retour sur le canton de Genève, impliquant de nouveaux changements, leur serait dommageable. Depuis fin août 2007, époque à laquelle Y._____________ a été scolarisée et Z._____________ confié à une garderie, les enfants se sont intégrés et ont trouvé la stabilité dont ils ont besoin à 1.***********. Aussi, il y a lieu de considérer que le centre des intérêts de la famille se trouve désormais dans le canton de Vaud, compte tenu notamment du fait que l’unique rattachement de la famille avec le canton de Genève est le domicile de l’épouse du recourant. De plus, X._____________ a d’ores et déjà été engagé à deux reprises par 7.************* SA afin d’effectuer des missions temporaires sur le territoire vaudois. Ainsi, il apparaît d’une part que 7.************* SA accorde sa confiance au recourant et, d’autre part, que ce dernier est en mesure de travailler dans notre canton s’il bénéficie d’une autorisation. Le recourant et les enfants peuvent ainsi justifier d’un réel centre de leurs activités et de leurs intérêts, soit en d’autres termes d’une intégration sociale, dans le canton de Vaud.</w:t>
      </w:r>
    </w:p>
    <w:p>
      <w:r>
        <w:rPr>
          <w:b/>
        </w:rPr>
        <w:t>E. 7</w:t>
      </w:r>
    </w:p>
    <w:p>
      <w:r>
        <w:t>En outre, d ans le cas présent, l'autorité intimée considère que des motifs préventifs d’assistance publique s’opposent également à l’octroi d’une autorisation de séjour dans notre canton. Elle constate que le recourant fait l’objet de poursuites dans le canton de Genève, qu’il est actuellement sans activité lucrative et sans revenu et qu’il n’a jamais eu de travail stable.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 11/2001 du 5 juin 2001, cons. 3a). b) En l'espèce, le recourant a démontré qu’il était en mesure de trouver du travail sur le territoire vaudois. Il a perçu des indemnités de l’assurance-chômage mais n’a pas bénéficié de l’aide sociale. Ainsi, il ne peut être considéré qu’il se trouve à la charge de l’assistance publique. De plus, s’agissant des poursuites, il y a lieu de relever d’une part que, dans le canton de Vaud, le recourant était inconnu des offices de poursuites au 14 août 2007 (selon rapport de la police lausannoise) et d’autre part que, dans le canton de Genève, le montant total des poursuites dont il fait l’objet est relativement modeste (3'700 francs).</w:t>
      </w:r>
    </w:p>
    <w:p>
      <w:r>
        <w:rPr>
          <w:b/>
        </w:rPr>
        <w:t>E. 8</w:t>
      </w:r>
    </w:p>
    <w:p>
      <w:r>
        <w:t>L’autorité intimée considère que l’autorisation de changer de canton aurait pour conséquence de mettre fin au but du séjour du recourant qui consiste à vivre auprès de son épouse. Toutefois, les époux ont tous deux expliqué que cette situation leur était imposée et qu’elle était provisoire. Ils ont manifesté leur souhait d’être à nouveau domicilié sous le même toit, lorsque les circonstances le permettront. Les questions liées à la dénonciation du recourant auprès du SPJ et à la paternité du recourant sur Y._____________, soulevées par l’autorité intimée, doivent également être écartées. L’instruction a établi d’une part que le recourant était un père adéquat qui ne maltraitait pas ses enfants et d’autre part qu’il était le père d’Y._____________ (selon acte de naissance certifié conforme par le Consulat général de Suisse au Cameroun).</w:t>
      </w:r>
    </w:p>
    <w:p>
      <w:r>
        <w:rPr>
          <w:b/>
        </w:rPr>
        <w:t>E. 9</w:t>
      </w:r>
    </w:p>
    <w:p>
      <w:r>
        <w:t>Au vu des considérants qui précèdent, le recours doit être admis et la décision entreprise annulée. Des autorisations de séjour seront établies en faveur du recourant et de ses enfants dont le changement de canton de résidence doit être accepté.</w:t>
      </w:r>
    </w:p>
    <w:p>
      <w:r>
        <w:rPr>
          <w:b/>
        </w:rPr>
        <w:t>E. 10</w:t>
      </w:r>
    </w:p>
    <w:p>
      <w:r>
        <w:t>Vu l’issue du pourvoi, les frais du présent arrêt seront laissés à la charge de l’Etat. Le recourant, qui bénéficie de l’assistance judicaire, a été dispensé d’effectuer une avance de frais, de sorte qu’il n’y a pas lieu à restitution. Obtenant gain de cause et agissant par l’intermédiaire d’un mandataire professionnel, le recourant a droit à l’allocation de dépens qu’il convient d’arrêter à un montant de 700 francs à charge du SPOP. Une indemnité sera allouée à son conseil d’office, à verser à celui-ci par la caisse de la Cour de droit administratif et public du Tribunal cantonal, sous déduction du montant de 700 francs dû à titre de dépens par le SPOP (par analogie, art. 19 de la loi sur l’assistance judiciaire en matière civile ; RSV 173.81).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