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PE.2007.0461 vom 19. Mai 2008</w:t>
      </w:r>
    </w:p>
    <w:p>
      <w:r>
        <w:t>VD Tribunal cantonal, 2008-05-19, FR</w:t>
      </w:r>
    </w:p>
    <w:p>
      <w:r>
        <w:rPr>
          <w:b/>
        </w:rPr>
        <w:t xml:space="preserve">Quelle: </w:t>
      </w:r>
      <w:r>
        <w:t>https://mcp.opencaselaw.ch/entscheid/vd_omni_PE.2007.0461</w:t>
      </w:r>
    </w:p>
    <w:p>
      <w:r>
        <w:t>FR: VD_OMNI PE.2007.0461 du 19 mai 2008</w:t>
      </w:r>
    </w:p>
    <w:p>
      <w:r>
        <w:t>IT: VD_OMNI PE.2007.0461 del 19 maggio 2008</w:t>
      </w:r>
    </w:p>
    <w:p>
      <w:pPr>
        <w:pStyle w:val="Heading2"/>
      </w:pPr>
      <w:r>
        <w:t>Regeste</w:t>
      </w:r>
    </w:p>
    <w:p>
      <w:r>
        <w:t>X. c/Service de la population (SPOP) | Des problèmes de santé liés à la perspective d'un retour au pays, de même que l'introduction d'une procédure en divorce en Suisse ne justifient pas une exception aux mesures de limitation.</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a) Le Tribunal fédéral a déduit de l'art. 4 aCst.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(révision au sens étroit), ou encore si les circonstances se sont modifiées dans une mesure notable ("wesentliche Änderung") depuis la première décision (révision au sens large)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3</w:t>
      </w:r>
    </w:p>
    <w:p>
      <w:r>
        <w:t>a) Par décision du 13 avril 2005, le SPOP a accepté de revoir sa décision car les problèmes de santé invoqués par l'intéressée constituaient des faits nouveaux, mais il a considéré que ceux-ci ne justifiaient pas l’octroi d’une autorisation de séjour. Le SPOP est ainsi entré en matière sur la demande de réexamen et le Tribunal de céans doit dès lors examiner si les circonstances nouvelles alléguées sont de nature à modifier l’appréciation de l’autorité de première instance en ce sens qu'une autorisation de séjour devrait être délivrée à la recourante. En l'occurrence, les problèmes de santé invoqués par la recourante sont liés à la perspective de son retour au pays. Or, le Tribunal fédéral a déjà précisé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(ATF 2A.474/2001 du 15 février 2002). La recourante n'est pas plus marquée que les autres étrangers soumis au même régime et son état de santé ne saurait être constitutif d'un cas personnel d'extrême gravité. On relève au surplus qu'elle ne justifie d'aucun traitement médical qui devrait être impérativement suivi en Suisse. Au demeurant, les problèmes familiaux invoqués dans le certificat médical ne sont pas à proprement parler des faits nouveaux, le tribunal ayant tenu compte de cet élément dans l'arrêt du 29 décembre 2006. La recourante justifie également sa demande par le fait que sa présence est nécessaire afin d'assurer ses droits dans la procédure de divorce l'opposant à son mari. Ce grief doit être écarté. Le Tribunal fédéral a confirmé à de nombreuses reprises que l'étranger pouvait toujours se faire représenter devant les tribunaux, sa présence en Suisse pouvant par ailleurs être assurée par des séjours touristiques (ATF 2C_6/2007 du 16 mars 2007; 2A.518/2005 du 6 septembre 2005). Au  vu des considérants qui précèdent, c’est à juste titre que le SPOP a rejeté au fond la requête de réexamen et refusé de délivrer une autorisation de séjour en faveur de la recourante. On relèvera au surplus que la demande de réexamen a été déposée alors que la recourante faisait l’objet d’une décision de renvoi du territoire de la Confédération et que, même si le contenu du certificat médical produit n’est aucunement mis en doute, cette demande laisse à penser qu’en réalité, elle ne tend qu’à remettre une nouvelle fois en cause des décisions administratives entrées en force.</w:t>
      </w:r>
    </w:p>
    <w:p>
      <w:r>
        <w:rPr>
          <w:b/>
        </w:rPr>
        <w:t>E. 4</w:t>
      </w:r>
    </w:p>
    <w:p>
      <w:r>
        <w:t>La recourante requiert de la Cour de céans qu'elle reconsidère l'arrêt rendu par le Tribunal administratif le 29 décembre 2006 dans la cause PE.2005.0174. Elle invoque une application erronée du droit en ce sens que son cas aurait dû être examiné sous l'angle de l'art. 9 LSEE et non 4 LSEE. Dans la mesure où les procédures de recours conduisent à un réexamen complet des questions qui y sont abordées, seuls des vices importants, tenant à la violation de règles essentielles de procédure justifient la modification d'une décision sur recours ou d'un arrêt du tribunal. Seuls les motifs de révision au sens étroit peuvent ainsi justifier une modification d'un arrêt rendu par un juge administratif; il a donc autorité matérielle de chose jugée (P. Moor, Droit administratif Vol. II, 2002, p. 348-349). Tel n'est pas le cas en l'occurrence, la recourante invoquant des motifs de révision au sens large. Il n'y a dès lors pas lieu de revoir l'arrêt précité. Au demeurant, il lui appartenait, le cas échéant, de contester l'arrêt incriminé devant le Tribunal fédéral si elle considérait celui-ci entaché d'une erreur de droit.</w:t>
      </w:r>
    </w:p>
    <w:p>
      <w:r>
        <w:rPr>
          <w:b/>
        </w:rPr>
        <w:t>E. 5</w:t>
      </w:r>
    </w:p>
    <w:p>
      <w:r>
        <w:t>Vu ce qui précède, le recours doit être rejeté sous suite de frais à la charge de la recourante, qui n’a pas droit à des dépens. Il incombe au SPOP de fixer à la recourante un nouveau délai de départ et de veiller à l'exécution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