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PE.2007.0395 vom 10. Dezember 2007</w:t>
      </w:r>
    </w:p>
    <w:p>
      <w:r>
        <w:t>VD Tribunal cantonal, 2007-12-10, FR</w:t>
      </w:r>
    </w:p>
    <w:p>
      <w:r>
        <w:rPr>
          <w:b/>
        </w:rPr>
        <w:t xml:space="preserve">Quelle: </w:t>
      </w:r>
      <w:r>
        <w:t>https://mcp.opencaselaw.ch/entscheid/vd_omni_PE.2007.0395</w:t>
      </w:r>
    </w:p>
    <w:p>
      <w:r>
        <w:t>FR: VD_OMNI PE.2007.0395 du 10 décembre 2007</w:t>
      </w:r>
    </w:p>
    <w:p>
      <w:r>
        <w:t>IT: VD_OMNI PE.2007.0395 del 10 dicembre 2007</w:t>
      </w:r>
    </w:p>
    <w:p>
      <w:pPr>
        <w:pStyle w:val="Heading2"/>
      </w:pPr>
      <w:r>
        <w:t>Regeste</w:t>
      </w:r>
    </w:p>
    <w:p>
      <w:r>
        <w:t>c/Service de la population (SPOP) | Le recourant, originaire du Kosovo, qui réside illégalement et travaille en Suisse depuis neuf ans, sollicite une autorisation de séjour fondée sur l'art. 13 lit. f OLE. Cette disposition n'a pas pour vocation de régler la situation des personnes qui séjournent illégalement en Suisse et la jurisprudence du TF a eu l'occasion de rappeler que la longue durée d'un séjour illégal ne suffit pas à entraîner un cas de rigueur au sens de l'art. 13 lit. f OLE. Recours rejeté.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w:t>
      </w:r>
    </w:p>
    <w:p>
      <w:r>
        <w:rPr>
          <w:b/>
        </w:rPr>
        <w:t>E. 2</w:t>
      </w:r>
    </w:p>
    <w:p>
      <w:r>
        <w:t>a)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L'exercice d'un contrôle judiciaire dans ce cadre-là garde tout son sens même si le juge administratif doit observer alors une certaine retenue dans l'examen de la manière dont l'administration a exercé ses prérogatives (TA PE.1998.0135, du 30 septembre 1998, consid. 4; publié in RDAF 1999 I 242 p. 244). b)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Toutefois, l'art. 13 let.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Il résulte des considérants qui précèdent que le pourvoi doit être rejeté et la décision attaquée confirmée. Il appartiendra en conséquence à l'autorité intimée de fixer au recourant un nouveau délai pour quitter le territoire cantonal. Succombant, le recourant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