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PE.2007.0392 vom 10. Dezember 2007</w:t>
      </w:r>
    </w:p>
    <w:p>
      <w:r>
        <w:t>VD Tribunal cantonal, 2007-12-10, FR</w:t>
      </w:r>
    </w:p>
    <w:p>
      <w:r>
        <w:rPr>
          <w:b/>
        </w:rPr>
        <w:t xml:space="preserve">Quelle: </w:t>
      </w:r>
      <w:r>
        <w:t>https://mcp.opencaselaw.ch/entscheid/vd_omni_PE.2007.0392</w:t>
      </w:r>
    </w:p>
    <w:p>
      <w:r>
        <w:t>FR: VD_OMNI PE.2007.0392 du 10 décembre 2007</w:t>
      </w:r>
    </w:p>
    <w:p>
      <w:r>
        <w:t>IT: VD_OMNI PE.2007.0392 del 10 dicembre 2007</w:t>
      </w:r>
    </w:p>
    <w:p>
      <w:pPr>
        <w:pStyle w:val="Heading2"/>
      </w:pPr>
      <w:r>
        <w:t>Regeste</w:t>
      </w:r>
    </w:p>
    <w:p>
      <w:r>
        <w:t>X. c/Service de la population (SPOP), Centre social régional d'Yverdon-Grandson | Révocation confirmée d'une autorisation de séjour; mariage vidé de toute substance; abus de droit; absence d'un cas de rigueur à la lumière du ch. 654 des directives LSEE.</w:t>
      </w:r>
    </w:p>
    <w:p>
      <w:pPr>
        <w:pStyle w:val="Heading2"/>
      </w:pPr>
      <w:r>
        <w:t>Erwägungen</w:t>
      </w:r>
    </w:p>
    <w:p>
      <w:r>
        <w:rPr>
          <w:b/>
        </w:rPr>
        <w:t>E. 1</w:t>
      </w:r>
    </w:p>
    <w:p>
      <w:r>
        <w:t>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En l’espèce, l’autorité intimée n’a pas prétendu que le recourant aurait conclu un mariage de complaisance.</w:t>
      </w:r>
    </w:p>
    <w:p>
      <w:r>
        <w:rPr>
          <w:b/>
        </w:rPr>
        <w:t>E. 2</w:t>
      </w:r>
    </w:p>
    <w:p>
      <w:r>
        <w:t>a) Si les droits conférés par l’art. 7 al. 1 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b) En l’espèce, il résulte du dossier que les époux sont séparés depuis le mois de septembre 2005, soit un peu plus de deux ans après leur mariage prononcé le 12 mai 2003. En effet, dans le cadre de l’enquête relative à la situation matrimoniale du couple, l’épouse du recourant a entre autres déclaré le 28 novembre 2006 que le couple était séparé depuis 14 mois, qu’elle avait retiré ses plaintes pour violences conjugales pour que le divorce soit prononcé le plus rapidement possible, qu’une procédure de divorce était d’ailleurs en cours et qu’elle ne voulait en aucun cas revivre avec son époux. En outre, aucun enfant n’est issu de cette union. Aucun élément ne permet de croire à une éventuelle reprise de la vie conjugale. En effet, le recourant et son épouse, après une vie commune pour le moins chaotique, vivent dans des domiciles séparés depuis le mois d’août 2006 et il ressort des déclarations de l’épouse que la reprise d’une vie commune est exclue, ce que le recourant ne conteste d’ailleurs pas. Il n’y a ainsi aucun élément concret qui tendrait à croire à une volonté des époux de sauver leur mariage ; au contraire, des indices suffisants, tels que la brève durée de la vie commune, l’absence d’enfant, les déclarations de l’épouse du recourant  et la procédure de divorce en cours permettent de conclure que la vie conjugale n’est plus souhaitée. Il apparaît ainsi que le recourant ne peut plus bénéficier d’une autorisation de séjour en Suisse, son mariage n’existant plus que formellement.</w:t>
      </w:r>
    </w:p>
    <w:p>
      <w:r>
        <w:rPr>
          <w:b/>
        </w:rPr>
        <w:t>E. 3</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réside en Suisse, au titre de regroupement familial, depuis son mariage prononcé le 12 mai 2003, soit depuis un peu plus de 4 ans ; cette durée, qui a sans doute permis au recourant de se créer des liens dans notre pays, ne peut cependant à elle seule justifier un cas de rigueur. L’intéressé a certes effectué un travail rémunéré au gymnase 3******** pendant plusieurs mois mais il ne travaille plus depuis le mois d’août 2005 à la suite d’un accident et il bénéficie de l’aide sociale ; il ne saurait dès lors se prévaloir d'une intégration professionnelle marquée. En outre, le recourant n’a pas eu d’enfant. Le tribunal ne doute pas de la réalité de l’adaptation du recourant à la vie en Suisse, mais la pesée de l’ensemble des intérêts ne permet toutefois pas de considérer que sa situation serait constitutive d’un cas d’extrême rigueur. En effet, l’absence de famille en Suisse, hormis son épouse qui souhaite divorcer rapidement, ou notamment le fait qu’il a passé la majeure partie de son existence à l’étranger - étant arrivé en Suisse à l’âge de 34 ans -, ne permettent pas de retenir le cas de rigueur.</w:t>
      </w:r>
    </w:p>
    <w:p>
      <w:r>
        <w:rPr>
          <w:b/>
        </w:rPr>
        <w:t>E. 4</w:t>
      </w:r>
    </w:p>
    <w:p>
      <w:r>
        <w:t>Il résulte des considérants qui précèdent que le recours doit être rejeté et la décision attaquée confirmée. Les frais de justice sont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