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PE.2007.0361 vom 28. November 2007</w:t>
      </w:r>
    </w:p>
    <w:p>
      <w:r>
        <w:t>VD Tribunal cantonal, 2007-11-28, FR</w:t>
      </w:r>
    </w:p>
    <w:p>
      <w:r>
        <w:rPr>
          <w:b/>
        </w:rPr>
        <w:t xml:space="preserve">Quelle: </w:t>
      </w:r>
      <w:r>
        <w:t>https://mcp.opencaselaw.ch/entscheid/vd_omni_PE.2007.0361</w:t>
      </w:r>
    </w:p>
    <w:p>
      <w:r>
        <w:t>FR: VD_OMNI PE.2007.0361 du 28 novembre 2007</w:t>
      </w:r>
    </w:p>
    <w:p>
      <w:r>
        <w:t>IT: VD_OMNI PE.2007.0361 del 28 novembre 2007</w:t>
      </w:r>
    </w:p>
    <w:p>
      <w:pPr>
        <w:pStyle w:val="Heading2"/>
      </w:pPr>
      <w:r>
        <w:t>Regeste</w:t>
      </w:r>
    </w:p>
    <w:p>
      <w:r>
        <w:t>X.________/Service de la population (SPOP) | La recourante sollicite la transformation de son permis F en permis B. Elle émarge toutefois partiellement mais régulièrement à l'assistance sociale et ses modestes gains d'employée de maison ne lui permettent pas d'être indépendante financièrement. Rejet du recours.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a) D'après l'art. 13 let. f de l'ordonnance limitant le nombre des étrangers du 6 octobre 1986 (OLE; RS 823.21),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été précisée en ce sens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 consid. 2 p. 111 s. et les références). c) Selon l'art. 10 al. 1 lit. d LSEE, 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w:t>
      </w:r>
    </w:p>
    <w:p>
      <w:r>
        <w:rPr>
          <w:b/>
        </w:rPr>
        <w:t>E. 3</w:t>
      </w:r>
    </w:p>
    <w:p>
      <w:r>
        <w:t>L'autorité intimée fonde son refus, d'une part, sur l'absence d'autonomie financière de la recourante et, d'autre part, sur l'art. 10 al. 1 lit. d LSEE. Elle relève sa situation financière obérée (dette auprès de la FAREAS), estimant qu'il est justifié, compte tenu de l'absence d'autonomie financière, de lui refuser le bénéfice d'une autorisation de séjour (permis B). De son côté, la recourante fait valoir que le titre d'admission provisoire dont elle dispose prétérite ses recherches d'emploi car de nombreux employeurs se sont montrés réticents à l'engager lorsqu'ils ont constaté qu'elle résidait en Suisse au bénéfice d’un simple permis F. En l'espèce, il convient de relever que la faculté de travail de la recourante n'est entravée par aucune maladie ou infirmité. Elle exerce auprès de deux employeurs une activité d'employée de maison. Elle prétend toutefois que son statut conduirait certains employeurs potentiels à refuser de l'engager. Le Tribunal administratif relève qu'il est certes possible que certains employeurs se montrent peut enclins à prendre à leur service une personne au bénéfice d'une admission provisoire. Ces craintes sont toutefois infondées puisque l'étranger au bénéfice d'un permis de type F a non seulement la possibilité d'exercer une activité lucrative en Suisse mais de surcroît n'est pas soumis au conditions restrictives de l’ordonnance limitant le nombre des étrangers. En l'état, la recourante exerce l'activité lucrative d'employée de maison au service de particuliers malgré son statut d’étrangère provisoirement admise en Suisse. Force est donc de constater que sa situation personnelle contredit la thèse qu'elle soutient et qu'elle n'a produit aucun document susceptible de prouver ses dires en ce qui concerne les difficultés qu'elle allègue. Comme dit plus haut, la recourante travaille en qualité d'employée de maison auprès de deux employeurs. Pour le compte du premier, elle travaille trois heures par semaine au tarif de 25 fr. 50 de l'heure, ce qui lui procure un salaire mensuel de l'ordre de 331 fr. par mois. Pour le second, elle effectue huit heures de travail par semaine au tarif horaire de 21 fr., ce qui lui assure un salaire mensuel brut d'environ 727 francs. Ainsi, le revenu mensuel brut total de la recourante est de l'ordre 1'058 fr. par mois. La modicité de ces gains mensuels ne suffit à l'évidence pas à couvrir son propre minimum vital (1'100 fr. par mois) auquel il y a lieu d'ajouter celui de ses filles dont elle a la charge, ce qu'elle n'a d'ailleurs pas contesté, confirmant qu'elle devait recourir à l'aide financière de la FAREAS. Il est ainsi établi que la recourante et ses deux filles dépendent, à tout le moins partiellement, de l'aide sociale, de sorte que l'application de l'art. 10 al. 1 lit d LSEE fait obstacle à toute transformation de son permis F en permis B.</w:t>
      </w:r>
    </w:p>
    <w:p>
      <w:r>
        <w:rPr>
          <w:b/>
        </w:rPr>
        <w:t>E. 4</w:t>
      </w:r>
    </w:p>
    <w:p>
      <w:r>
        <w:t>Il découle de ce qui précède que l'autorité intimée n'a ni excédé ni abusé de son pouvoir d'appréciation en refusant de transmettre le dossier de la recourante à l'ODM pour que celui-ci statue sur une éventuelle exemption des mesures de limitation. Le recours doit en conséquence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