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PE.2007.0334 vom 30. Oktober 2007</w:t>
      </w:r>
    </w:p>
    <w:p>
      <w:r>
        <w:t>VD Tribunal cantonal, 2007-10-30, FR</w:t>
      </w:r>
    </w:p>
    <w:p>
      <w:r>
        <w:rPr>
          <w:b/>
        </w:rPr>
        <w:t xml:space="preserve">Quelle: </w:t>
      </w:r>
      <w:r>
        <w:t>https://mcp.opencaselaw.ch/entscheid/vd_omni_PE.2007.0334</w:t>
      </w:r>
    </w:p>
    <w:p>
      <w:r>
        <w:t>FR: VD_OMNI PE.2007.0334 du 30 octobre 2007</w:t>
      </w:r>
    </w:p>
    <w:p>
      <w:r>
        <w:t>IT: VD_OMNI PE.2007.0334 del 30 ottobre 2007</w:t>
      </w:r>
    </w:p>
    <w:p>
      <w:pPr>
        <w:pStyle w:val="Heading2"/>
      </w:pPr>
      <w:r>
        <w:t>Regeste</w:t>
      </w:r>
    </w:p>
    <w:p>
      <w:r>
        <w:t>X. c/Service de la population (SPOP) | En l'espèce, l'absence d'enfant, les déclarations respectives des époux et leur très brève vie commune (séparés 1 mois après le mariage) notamment permettent de conclure que la vie conjugale n'est plus souhaitée. Par ailleurs, la recourante invoque sa relation avec son nouveau compagnon qu'elle compte épouser sitôt le divorce prononcé; or, il ressort du dossier qu'il ne s'agit pas d'une relation étroite et effectivement vécue depuis suffisamment de temps permettant de justifier une dérogation. Pas de cas de rigueur. Recours rejeté.</w:t>
      </w:r>
    </w:p>
    <w:p>
      <w:pPr>
        <w:pStyle w:val="Heading2"/>
      </w:pPr>
      <w:r>
        <w:t>Erwägungen</w:t>
      </w:r>
    </w:p>
    <w:p>
      <w:r>
        <w:rPr>
          <w:b/>
        </w:rPr>
        <w:t>E. 1</w:t>
      </w:r>
    </w:p>
    <w:p>
      <w:r>
        <w:t>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(ATF 126 II 377 consid. 2 ; 126 II 335 consid. 1 a ; 124 II 361 consid. 1 a). b) En vertu de l’art. 7 al. 1 LSEE, le conjoint étranger d’un ressortissant suisse a droit à l’octroi et à la prolongation de l’autorisation de séjour ; après un séjour régulier et ininterrompu de 5 ans, il a droit à l’autorisation d’établissement ; ce droit s’éteint lorsqu’il existe un motif d’expulsion. L’alinéa 2 de cette disposition prévoit que ce droit n’existe pas lorsque le mariage a été contracté dans le but d’éluder les dispositions sur le séjour et l’établissement des étrangers et notamment celles sur la limitation du nombre des étrangers. En l’espèce, l’autorité intimée n’a pas prétendu que le recourant aurait conclu un mariage de complaisance.</w:t>
      </w:r>
    </w:p>
    <w:p>
      <w:r>
        <w:rPr>
          <w:b/>
        </w:rPr>
        <w:t>E. 2</w:t>
      </w:r>
    </w:p>
    <w:p>
      <w:r>
        <w:t>a) Si les droits conférés par l’art. 7 al. 1 LSEE s’éteignent en cas de mariage fictif, ils prennent également fin si l’étranger invoque un mariage de façon abusive (ATF 123 II 49 consid. 5 c ; 121 II 97 consid. 4 ; 119 Ib 417 consid. 2).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 123 II 49 ;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 b et 2 b ; 121 II 97 précité ; 118 Ib 145 consid. 3 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b) En l’espèce, la séparation officielle des époux remonte au mois d’août 2006, soit environ huit mois après leur mariage prononcé le 21 décembre 2005 ; toutefois, il résulte du dossier qu’ils étaient déjà séparés depuis le mois de février 2006, soit environ un mois après s’être mariés. En effet, en réponse au SPOP, l’époux, dans son courrier du 22 janvier 2007, a notamment déclaré que la recourante était partie vivre dès le mois de février 2006 chez son amant de l’époque ; il a également indiqué qu’il n’envisageait pas de reprendre la vie commune, chacun ayant refait sa vie, et qu’une procédure de divorce n’était certes pas en cours mais qu’il prévoyait de divorcer. En outre, aucun enfant n’est issu de cette union. Aucun élément ne permet ainsi de croire à une éventuelle reprise de la vie conjugale. En effet, la recourante et son époux vivent dans des domiciles séparés depuis de nombreux mois maintenant et il apparaît même que la recourante réside chez son nouveau compagnon avec qui elle désire convoler une fois le divorce prononcé. Il n’y a ainsi aucun élément concret qui tendrait à croire à une volonté des époux de sauver leur mariage ; au contraire, des indices suffisants, tels que la brève durée de la vie commune, l’absence d’enfant ou encore les déclarations respectives des époux permettent de conclure que la vie conjugale n’est plus souhaitée. Il apparaît ainsi que la recourante ne peut plus bénéficier d’une autorisation de séjour en Suisse, son mariage n’existant plus que formellement.</w:t>
      </w:r>
    </w:p>
    <w:p>
      <w:r>
        <w:rPr>
          <w:b/>
        </w:rPr>
        <w:t>E. 3</w:t>
      </w:r>
    </w:p>
    <w:p>
      <w:r>
        <w:t>La recourante invoque sa relation avec un nouveau compagnon avec lequel elle compte se marier, une fois le divorce prononcé. a) Selon la jurisprudence,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non publiés du Tribunal fédéral des 4 octobre 2002, 30 septembre 1999 et 7 novembre 1996, respectivement dans les causes 2A.362/2002, 2A.383/1999 et 2A.274/1996, et les arrêts cités; Mark E. Villiger, Handbuch der Europäischen Menschenrechtskonvention, Zurich 1999, n. 571, p. 365 s.). b) Dans le cas présent, la recourante est encore mariée et la procédure de divorce n'a apparemment pas été ouverte. Il apparaît que sa relation avec un nouveau compagnon ne date que de quelques mois et, bien qu’elle fasse ménage commun avec lui depuis le 1 er octobre 2007, il n'est pas fait état de projets de mariage concrets ou d'éventuelles fiançailles. Il ne s'agit donc pas d'une relation étroite et effectivement vécue depuis suffisamment de temps, qui présente une certaine constance, permettant de justifier une dérogation (Villiger, op. cit.). c) Entre outre, la recourante ne remplit pas les conditions sévères - notamment existence d'une relation stable d'une certaine durée et confirmation de son intensité - du chiffre 556.1 des Directives LSEE qui permet à un concubin d'obtenir une autorisation de séjour en application de l'art. 36 OLE.</w:t>
      </w:r>
    </w:p>
    <w:p>
      <w:r>
        <w:rPr>
          <w:b/>
        </w:rPr>
        <w:t>E. 4</w:t>
      </w:r>
    </w:p>
    <w:p>
      <w:r>
        <w:t>a) Cela étant, pour éviter des situations d’extrême rigueur, l’autorité fédérale admet que l’autorisation de séjour peut être renouvelée après le divorce ou la dissolution de la communauté conjugale. Les circonstances suivantes seront déterminantes (chiffre 654 des directives LSEE de l’Office fédéral des migrations)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b) En l’espèce, la recourante réside en Suisse, au titre de regroupement familial, depuis son mariage prononcé le 21 décembre 2005, soit depuis un peu moins de 2 ans ; cette durée, qui a sans doute permis à l’intéressée de se créer des liens dans notre pays, ne peut cependant à elle seule justifier un cas de rigueur. De plus, la recourante a certes régulièrement travaillé dans le domaine de l’hôtellerie dès le mois de janvier 2006 mais elle ne saurait se prévaloir d'une intégration professionnelle marquée. En outre, la recourante n’a pas eu d’enfant. Le tribunal ne doute pas de la réalité de l’adaptation de la recourante à la vie en Suisse, mais la pesée de l’ensemble des intérêts ne permet toutefois pas de considérer que sa situation serait constitutive d’un cas d’extrême rigueur. En effet, l’absence de famille en Suisse, hormis son époux qui souhaite divorcer, ou notamment le fait qu’elle a passé la majeure partie de son existence dans son pays d’origine - étant arrivée en Suisse à plus de 20 ans - ne permettent pas de retenir le cas de rigueur.</w:t>
      </w:r>
    </w:p>
    <w:p>
      <w:r>
        <w:rPr>
          <w:b/>
        </w:rPr>
        <w:t>E. 5</w:t>
      </w:r>
    </w:p>
    <w:p>
      <w:r>
        <w:t>Il résulte des considérants qui précèdent que le recours doit être rejeté et la décision attaquée confirmée. Les frais de justice sont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