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PE.2007.0326 vom 18. Juli 2007</w:t>
      </w:r>
    </w:p>
    <w:p>
      <w:r>
        <w:t>VD Tribunal cantonal, 2007-07-18, FR</w:t>
      </w:r>
    </w:p>
    <w:p>
      <w:r>
        <w:rPr>
          <w:b/>
        </w:rPr>
        <w:t xml:space="preserve">Quelle: </w:t>
      </w:r>
      <w:r>
        <w:t>https://mcp.opencaselaw.ch/entscheid/vd_omni_PE.2007.0326</w:t>
      </w:r>
    </w:p>
    <w:p>
      <w:r>
        <w:t>FR: VD_OMNI PE.2007.0326 du 18 juillet 2007</w:t>
      </w:r>
    </w:p>
    <w:p>
      <w:r>
        <w:t>IT: VD_OMNI PE.2007.0326 del 18 luglio 2007</w:t>
      </w:r>
    </w:p>
    <w:p>
      <w:pPr>
        <w:pStyle w:val="Heading2"/>
      </w:pPr>
      <w:r>
        <w:t>Regeste</w:t>
      </w:r>
    </w:p>
    <w:p>
      <w:r>
        <w:t>X.________ /Service de la population (SPOP) | Confirmation de l'irrecevabilité d'une demande de réexamen d'un refus d'autorisation de séjour fondé sur l'absence de liens étroits et effectifs du recourant avec son enfant: les photos produites du père avec l'enfant auraient pu être prises et produites bien antérieurement; il en va de même des pièces tendant à démontrer le versement d'une contribution d'entretien.</w:t>
      </w:r>
    </w:p>
    <w:p>
      <w:pPr>
        <w:pStyle w:val="Heading2"/>
      </w:pPr>
      <w:r>
        <w:t>Erwägungen</w:t>
      </w:r>
    </w:p>
    <w:p>
      <w:r>
        <w:rPr>
          <w:b/>
        </w:rPr>
        <w:t>E. 1</w:t>
      </w:r>
    </w:p>
    <w:p>
      <w:r>
        <w:t>a) Le Tribunal fédéral a déduit de l'art. 4 aCst. (actuellement art. 8 Cst.) l'obligation pour l'autorité administrative de se saisir d'une demande de réexamen si le req u érant invoque des faits ou des moyens de preuve importants ("erheblich") qu'il ne connaissait pas lors de la première décision ou dont il ne pouvait se prévaloir ou n'avait pas de raison de se prévaloir à cette époque, ou encore si les circonstances se sont modifiées dans une mesure notable ("wesentliche Änderung") depuis la première décision (cf. notamment ATF 109 Ib 246 consid. 4a; 113 Ia 146 consid. 3a, JT 1989 I 209; 120 Ib 42 consid. 2b; 124 II 1 consid. 3a et ATF du 14 avril 1998, ZBl 1999 p. 84 consid. 2d). La seconde hypothèse permet en particulier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("echte Noven"), plus précisément après l'ultime délai dans lequel, suivant la procédure applicable, ils pouvaient encore être invoqués (clôture de l'instruction; cf. P. Moor, Droit administratif, vol. II: Les actes administratifs et leur contrôle, Berne 1991, p. 230; Koelz/Haener, Verwaltungsverfahren und Verwaltungsrechtspflege des Bundes, 2 ème éd., Zurich 1998, n os 426, 429, 438 et 440; Rhinow/Koller/Kiss, Öffentliches Prozessrecht und Justizverfassungsrecht des Bundes, Francfort-sur-le-Main 1996, n° 1199). Cette hypothèse ne concerne naturellement que les décisions aux effets durables ("Dauerverfügung"; P. Moor, op. cit., p. 230; Koelz/Haener, op. cit., n° 444), ce qui est le cas, comme en l'espèce, d'une décision réglementant le statut d'une personne au regard des règles de police des étrangers (cf. arrêt TA bernois du 8 octobre 1992, JAB 1993, p. 244 consid. 2a). b)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let. d, 137 let. b aOJ, cf. ATF 122 II 17 consid. 3; 121 IV 317 consid. 2; s'agissant de l'art. 66 al. 2 let. a PA, cf. ATF 110 V 138 consid. 2; 108 V 170 consid. 1; JAAC 60.38 consid. 5; P. Moor, op. cit., p. 230; Rhinow/Koller/Kiss, op. cit., n° 1431). La jurisprudence souligne toutefois que les demandes de nouvel examen ne sauraient servir à remettre continuellement en question des décisions administratives, ni surtout à éluder les dispositions légales sur les délais de recours (ATF 109 précité consid.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JAAC 60.37 consid. 1b; P. Moor, op. cit., p. 229; Koelz/Haener, op. cit., n° 434, application analogique de l'art. 66 al. 3 PA; Rhinow/Koller/Kiss, op. cit., n° 1431; cf. également, en matière de réexamen des décisions de taxation fiscale, ATF 111 Ib 209 consid. 1 et, en matière de révision des arrêts du TF, l'art. 137 let. b in fine aOJ et ATF 121 précité consid. 2). c)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déclare la requête recevable, elle doit, dans un second temps, entrer en matière et examiner la réalité du motif invoqué. C'est le requérant qui supporte le fardeau de la preuve à cet égard (Merkli/Aeschlimann/Herzog, Kommentar zum Gesetz vom 23. Mai 1989 über die Verwaltungsrechtspflege des Kantons Bern, Berne 1997, n° 3 ad art. 57, p. 396).</w:t>
      </w:r>
    </w:p>
    <w:p>
      <w:r>
        <w:rPr>
          <w:b/>
        </w:rPr>
        <w:t>E. 2</w:t>
      </w:r>
    </w:p>
    <w:p>
      <w:r>
        <w:t>En l'espèce, il convient de rappeler que le Tribunal administratif a déjà refusé à deux reprises de donner suite aux requêtes du recourant tendant au maintien de son autorisation de séjour. Dans un premier arrêt, il a retenu que le mariage du recourant était vidé de sa substance. En outre, l'intéressé n'avait justifié d'aucun lien particulièrement étroit et effectif avec son enfant; le tribunal l'avait en effet invité à deux reprises, en vain, à fournir la preuve de ce lien (cf. avis de la juge instructeur des 7 et 25 juillet 2006), la seconde fois sous peine que l'existence de ce lien ne serait pas retenue (PE.2005.0529 du 20 octobre 2006 consid. 4b in fine et consid. 6 in fine). Par la suite, statuant le 26 février 2007 sur une première demande de réexamen (PE.2007.0073 consid. 2), le tribunal a jugé que les éléments allégués dans cette requête n'infirmaient pas les constatations de vacuité du lien conjugal et d'inexistence de liens étroits entre le recourant et son fils. Sur ce dernier point, le tribunal s'est référé à une déclaration de l'épouse du 8 novembre 2006 qui " certifie que M. A.________ voit son fils B.________ régulièrement depuis sa naissance" et a retenu ce qui suit: "(...) l’attestation laconique de l’épouse, dont on peut légitimement penser qu’elle a été fournie pour les besoins de la cause, ne saurait modifier la situation de fait en l’absence de toute autre pièce. Quoi qu’il en soit, la preuve de son droit de visite ou du versement d’une pension alimentaire aurait dû être fournie dans le cadre de la précédente procédure de recours, étant précisé que le tribunal ne saurait inférer de l’absence de décision judiciaire réglant le droit de visite et le versement d’une pension que la situation a été réglée entre époux, de surcroît dans l’intérêt bien compris de l’enfant." A l'appui de la présente demande de réexamen, le recourant tente derechef d'apporter des documents "nouveaux" en vue de démontrer l'existence de liens étroits et effectifs avec son enfant. Ces documents ne sauraient toutefois être considérés comme constituant des preuves ou des faits nouveaux susceptibles d'ouvrir la voie à une demande de réexamen. Certes, les photographies prises selon les dires du recourant le 29 mars 2007 et peu avant (d'après l'âge apparent de l'enfant) n'auraient évidemment pas pu être produites plus tôt. Toutefois, il était loisible au recourant de prendre d'autres photographies bien antérieurement - ce qui aurait du reste été naturel en présence d'un véritable lien - et de les déposer au cours de la première procédure de recours. S'agissant de la contribution d'entretien, le présent mémoire de recours indique que " le recourant verse depuis plusieurs mois une contribution d'entretien en faveur de son fils à son épouse. Il n'avait pas pensé à s'en prévaloir et surtout à en amener une preuve auparavant." La prétendue ignorance du recourant à cet égard ne peut cependant être retenue dès lors que, par avis précité du 7 juillet 2006, la juge instructeur avait expressément invité le recourant à indiquer, pièces utiles à l'appui, les montants et la fréquence des contributions d'entretien versées. Au demeurant, les relevés de l'année 2007 - dont un seul porte la mention de l'enfant - ne sont pas de nature, à eux seuls, à démontrer que le père a contribué de manière régulière à l'entretien de son enfant, depuis plusieurs mois selon ses allégués. L'irrecevabilité de la demande de réexamen doit par conséquent être confirmée, dès lors que le recourant aurait pu, en faisant preuve d'une diligence raisonnable, produire l'ensemble de ses "nouveaux" documents dans le cadre des procédures antérieures. Pour être complet, on répétera qu'il est étonnant que les intéressés, pourtant séparés, n'ont toujours pas saisi la justice en vue de régler les modalités de visite et de contribution d'entretien de l'enfant, dans l'intérêt bien compris de celui-ci.</w:t>
      </w:r>
    </w:p>
    <w:p>
      <w:r>
        <w:rPr>
          <w:b/>
        </w:rPr>
        <w:t>E. 3</w:t>
      </w:r>
    </w:p>
    <w:p>
      <w:r>
        <w:t>Il résulte des considérants qui précèdent que le recours est manifestement mal fondé et qu'il doit être rejeté, sans autre mesure d'instruction, selon la procédure sommaire de l'art. 35a LJPA, la décision de l'autorité intimée étant maintenue. Vu l'issue du recours, un émolument est mis à la charge du recourant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