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PE.2007.0306 vom 8. Februar 2008</w:t>
      </w:r>
    </w:p>
    <w:p>
      <w:r>
        <w:t>VD Tribunal cantonal, 2008-02-08, FR</w:t>
      </w:r>
    </w:p>
    <w:p>
      <w:r>
        <w:rPr>
          <w:b/>
        </w:rPr>
        <w:t xml:space="preserve">Quelle: </w:t>
      </w:r>
      <w:r>
        <w:t>https://mcp.opencaselaw.ch/entscheid/vd_omni_PE.2007.0306</w:t>
      </w:r>
    </w:p>
    <w:p>
      <w:r>
        <w:t>FR: VD_OMNI PE.2007.0306 du 8 février 2008</w:t>
      </w:r>
    </w:p>
    <w:p>
      <w:r>
        <w:t>IT: VD_OMNI PE.2007.0306 del 8 febbraio 2008</w:t>
      </w:r>
    </w:p>
    <w:p>
      <w:pPr>
        <w:pStyle w:val="Heading2"/>
      </w:pPr>
      <w:r>
        <w:t>Regeste</w:t>
      </w:r>
    </w:p>
    <w:p>
      <w:r>
        <w:t>c/Service de la population (SPOP) | Refus confirmé par le TA de transformer le permis F en permis B pour un recourant angolais arrivé en 1993 en Suisse, dont la situation financière est obérée et qui ne présente pas de stabilité financière. Recours rejeté.</w:t>
      </w:r>
    </w:p>
    <w:p>
      <w:pPr>
        <w:pStyle w:val="Heading2"/>
      </w:pPr>
      <w:r>
        <w:t>Erwägungen</w:t>
      </w:r>
    </w:p>
    <w:p>
      <w:r>
        <w:rPr>
          <w:b/>
        </w:rPr>
        <w:t>E. 1</w:t>
      </w:r>
    </w:p>
    <w:p>
      <w:r>
        <w:t>Déposé dans le délai de 20 jours de l'article 31 alinéa 1 LJPA, le recours satisfait par ailleurs aux exigences de forme de l'article 31 alinéa 2 LJPA. Il est partant recevable à la forme.</w:t>
      </w:r>
    </w:p>
    <w:p>
      <w:r>
        <w:rPr>
          <w:b/>
        </w:rPr>
        <w:t>E. 2</w:t>
      </w:r>
    </w:p>
    <w:p>
      <w:r>
        <w:t>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1er janvier 2008, le litige doit être examiné à l'aune des anciennes LSEE et OLE.</w:t>
      </w:r>
    </w:p>
    <w:p>
      <w:r>
        <w:rPr>
          <w:b/>
        </w:rPr>
        <w:t>E. 3</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été précisée en ce sens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c) L'art. 36 OLE prévoit la délivrance d'une autorisation de séjour pour des étrangers n'exerçant pas une activité lucrative lorsque des raisons importantes l'exigent. Dans un tel cas, les critères dégagés par la jurisprudence dans le cadre de l'art. 13 let. f OLE s'appliquent par analogie.</w:t>
      </w:r>
    </w:p>
    <w:p>
      <w:r>
        <w:rPr>
          <w:b/>
        </w:rPr>
        <w:t>E. 4</w:t>
      </w:r>
    </w:p>
    <w:p>
      <w:r>
        <w:t>L'autorité intimée reproche au recourant le fait de ne pas être autonome financièrement. Elle fait état de la situation financière obérée du recourant et son manque de stabilité professionnelle.</w:t>
      </w:r>
    </w:p>
    <w:p>
      <w:r>
        <w:rPr>
          <w:b/>
        </w:rPr>
        <w:t>E. 5</w:t>
      </w:r>
    </w:p>
    <w:p>
      <w:r>
        <w:t>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w:t>
      </w:r>
    </w:p>
    <w:p>
      <w:r>
        <w:rPr>
          <w:b/>
        </w:rPr>
        <w:t>E. 6</w:t>
      </w:r>
    </w:p>
    <w:p>
      <w:r>
        <w:t>En l'espèce, le recourant réside en Suisse depuis 1993, soit depuis plus de 14 ans. Il ne présente pas un parcours professionnel que l'on pourrait qualifier de stable puisque la majorité de ses emplois lui ont été fournis par des entreprises de placement temporaire et se sont limités à quelques mois. La longue durée du séjour du recourant en Suisse ne suffit pas, à elle seule, à considérer que sa situation serait constitutive d'un cas de rigueur au sens de l'article 13 let. f ou de l'article 36 OLE. Certes, le recourant consent un important sacrifice en remboursant ses dettes, puisqu'il fait l'objet d'une saisie de salaire importante sur ses revenus. Il présente toutefois encore un important passif notamment envers la Fareas. A cela s'ajoute encore le fait qu'il a été condamné deux fois par les autorités pénales. Ces circonstances ne plaident donc pas pour une transmission du dossier du recourant à l'ODM. Au surplus, le recourant ne soutient pas s'être particulièrement bien intégré dans notre pays. C'est donc à juste titre que l'autorité intimée a rejeté la demande du recourant visant à l'obtention d'une autorisation de séjour. Sa décision doit être confirmée et le recours rejeté, aux frais de son auteur, lequel n'a pas droit à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