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PE.2007.0246 vom 1. November 2007</w:t>
      </w:r>
    </w:p>
    <w:p>
      <w:r>
        <w:t>VD Tribunal cantonal, 2007-11-01, FR</w:t>
      </w:r>
    </w:p>
    <w:p>
      <w:r>
        <w:rPr>
          <w:b/>
        </w:rPr>
        <w:t xml:space="preserve">Quelle: </w:t>
      </w:r>
      <w:r>
        <w:t>https://mcp.opencaselaw.ch/entscheid/vd_omni_PE.2007.0246</w:t>
      </w:r>
    </w:p>
    <w:p>
      <w:r>
        <w:t>FR: VD_OMNI PE.2007.0246 du 1 novembre 2007</w:t>
      </w:r>
    </w:p>
    <w:p>
      <w:r>
        <w:t>IT: VD_OMNI PE.2007.0246 del 1 novembre 2007</w:t>
      </w:r>
    </w:p>
    <w:p>
      <w:pPr>
        <w:pStyle w:val="Heading2"/>
      </w:pPr>
      <w:r>
        <w:t>Regeste</w:t>
      </w:r>
    </w:p>
    <w:p>
      <w:r>
        <w:t>X. c/Service de la population (SPOP) | En ne donnant pas à la personne dont il a révoqué l'autorisation de séjour la possibilité de se prononcer sur les déclarations faites à la police sur la désunion du couple, le SPOP a violé le droit d'être entendu; en outre, le SPOP n'a pas fait part au titulaire de l'autorisation de son intention de révoquer celle-ci. Admission du recours en application de la jurisprudence fixée dans l'arrêt PE.2006.0361 du 19 avril 2007.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Les parties ont le droit d'être entendues (art. 29 al.</w:t>
      </w:r>
    </w:p>
    <w:p>
      <w:r>
        <w:rPr>
          <w:b/>
        </w:rPr>
        <w:t>E. 2</w:t>
      </w:r>
    </w:p>
    <w:p>
      <w:r>
        <w:t>Le recours doit ainsi être admis et la décision attaquée annulée. La cause est renvoyée au SPOP pour nouvelle décision. Il est statué sans frais; le recourant, assisté par un mandataire, a droit à des dépens (art. 55 de la loi du 18 décembre 1989 sur la juridiction et la procédure administratives - LJPA ; RSV 173.36).</w:t>
      </w:r>
    </w:p>
    <w:p>
      <w:r>
        <w:rPr>
          <w:b/>
        </w:rPr>
        <w:t>E. 2.2</w:t>
      </w:r>
    </w:p>
    <w:p>
      <w:r>
        <w:t>p. 204; 132 V 387 consid. 5.1 p. 390; 130 II 530 consid. 7.3 p. 562, et les arrêts cités). La jurisprudence y a répondu négativement, car les violations constatées en l’espèce doivent être considérées comme graves (arrêt PE.2006.0361, précité, consid. 4c et 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