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PE.2007.0234 vom 7. Juni 2007</w:t>
      </w:r>
    </w:p>
    <w:p>
      <w:r>
        <w:t>VD Tribunal cantonal, 2007-06-07, FR</w:t>
      </w:r>
    </w:p>
    <w:p>
      <w:r>
        <w:rPr>
          <w:b/>
        </w:rPr>
        <w:t xml:space="preserve">Quelle: </w:t>
      </w:r>
      <w:r>
        <w:t>https://mcp.opencaselaw.ch/entscheid/vd_omni_PE.2007.0234</w:t>
      </w:r>
    </w:p>
    <w:p>
      <w:r>
        <w:t>FR: VD_OMNI PE.2007.0234 du 7 juin 2007</w:t>
      </w:r>
    </w:p>
    <w:p>
      <w:r>
        <w:t>IT: VD_OMNI PE.2007.0234 del 7 giugno 2007</w:t>
      </w:r>
    </w:p>
    <w:p>
      <w:pPr>
        <w:pStyle w:val="Heading2"/>
      </w:pPr>
      <w:r>
        <w:t>Regeste</w:t>
      </w:r>
    </w:p>
    <w:p>
      <w:r>
        <w:t>X._______________, Y._______________, Z._______________/Service de la population (SPOP) | Recours manifestement mal fondé à l'encontre d'une décision du SPOP refusant d'entrer en matière sur une requête de réexamen.</w:t>
      </w:r>
    </w:p>
    <w:p>
      <w:pPr>
        <w:pStyle w:val="Heading2"/>
      </w:pPr>
      <w:r>
        <w:t>Erwägungen</w:t>
      </w:r>
    </w:p>
    <w:p>
      <w:r>
        <w:rPr>
          <w:b/>
        </w:rPr>
        <w:t>E. 1</w:t>
      </w:r>
    </w:p>
    <w:p>
      <w:r>
        <w:t>Le recours, déposé en temps utile et recevable à la forme, est dirigé contre le refus de l’autorité intimée d’entrer en matière sur une requête de réexamen.</w:t>
      </w:r>
    </w:p>
    <w:p>
      <w:r>
        <w:rPr>
          <w:b/>
        </w:rPr>
        <w:t>E. 2</w:t>
      </w:r>
    </w:p>
    <w:p>
      <w:r>
        <w:t>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La première hypothèse, couramment appelée révision au sens étroit (cf. P. Moor, Droit administratif, vol. II : Les actes administratifs et leur contrôle, Berne 2002, pp. 241 ss; A. Koelz/I.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Öffentliches Prozessrecht und Justizverfassungsrecht des Bundes, Francfort-sur-le-Main 1996,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Kommentar zum Gesetz vom 23. Mai 1989 über die Verwaltungsrechtspflege des Kantons Bern, Berne 1997, n° 3 ad art. 56, p. 382; cf. également arrêt TA PE.2003.0239 du 2 septembre 2003 plus réf. cit). Dans les deux hypothèses, les faits invoqués doivent être importants, c'est-à-dire de nature à entraîner une modification de l'état de fait à la base de la décision et, s'il est correctement apprécié, une décision plus favorable au requérant (cf. arrêt TA PE.2003.0239 précité). La jurisprudence souligne toutefois que les demandes de nouvel examen ne sauraient servir à remettre continuellement en question des décisions administratives, ni surtout à éluder les dispositions légales sur les délais de recours (ATF 109 précité, c. 4a).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examiner la requête au fond (cf Moor, op. cit., p. 344 ; ATF 100 Ib 368).</w:t>
      </w:r>
    </w:p>
    <w:p>
      <w:r>
        <w:rPr>
          <w:b/>
        </w:rPr>
        <w:t>E. 3</w:t>
      </w:r>
    </w:p>
    <w:p>
      <w:r>
        <w:t>En l’espèce, le principal argument du recourant – au demeurant soulevé dans le cadre du recours uniquement - consiste à rappeler l’existence de liens familiaux en Suisse, le fait que sa compagne et mère de ses enfants n’est pas sous le coup d’une mesure d’expulsion et la scolarité suivie par l’enfant Z._____________. Il semble également faire valoir que sa situation n’a pas été examinée sous l’angle du cas d’extrême gravité. Or, ces faits ont été appréciés tant dans le cadre de la procédure ayant abouti au refus d’accorder un titre de séjour, conclue par l’arrêt du Tribunal fédéral du 3 mai 2006 que dans le cadre de la précédente requête de réexamen. Dès lors, c’est à bon droit que l’autorité intimée a déclaré irrecevable la seconde requête de réexamen déposée par le recourant.</w:t>
      </w:r>
    </w:p>
    <w:p>
      <w:r>
        <w:rPr>
          <w:b/>
        </w:rPr>
        <w:t>E. 4</w:t>
      </w:r>
    </w:p>
    <w:p>
      <w:r>
        <w:t>Vu les considérants qui précèdent, le recours, manifestement mal fondé (art. 35a LJPA), voire téméraire, est rejeté. Un nouveau délai de départ sera imparti aux recourants pour quitter le territoire vaudois (art. 12 al. 3 LSEE). Vu l’issue du pourvoi, les frais du présent arrêt seront mis à la charge des recourants déboutés, qui n’ont pas droit à des dépens (art. 38 et 55 LJPA).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