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PE.2007.0212 vom 11. September 2007</w:t>
      </w:r>
    </w:p>
    <w:p>
      <w:r>
        <w:t>VD Tribunal cantonal, 2007-09-11, FR</w:t>
      </w:r>
    </w:p>
    <w:p>
      <w:r>
        <w:rPr>
          <w:b/>
        </w:rPr>
        <w:t xml:space="preserve">Quelle: </w:t>
      </w:r>
      <w:r>
        <w:t>https://mcp.opencaselaw.ch/entscheid/vd_omni_PE.2007.0212</w:t>
      </w:r>
    </w:p>
    <w:p>
      <w:r>
        <w:t>FR: VD_OMNI PE.2007.0212 du 11 septembre 2007</w:t>
      </w:r>
    </w:p>
    <w:p>
      <w:r>
        <w:t>IT: VD_OMNI PE.2007.0212 del 11 settembre 2007</w:t>
      </w:r>
    </w:p>
    <w:p>
      <w:pPr>
        <w:pStyle w:val="Heading2"/>
      </w:pPr>
      <w:r>
        <w:t>Regeste</w:t>
      </w:r>
    </w:p>
    <w:p>
      <w:r>
        <w:t>c/Service de la population (SPOP) | Ne peut prétendre à la délivrance d'un permis d'établissement, l'étranger marié à une étrangère titulaire d'un permis C depuis plus de cinq ans qui risque concrètement d'émarger durablement à l'aide sociale. Rejet du recours.</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En l’occurrence, l'épouse du recourant est titulaire d'un permis C, ce qui signifie qu'il peut se prévaloir de l'art. 17 al. 2 LSEE, qui lui donne un droit à l'octroi et à la prolongation de l'autorisation de séjour aussi longtemps que les époux vivent ensemble et, après un séjour régulier et ininterrompu de cinq ans, à l'autorisation d'établissement, droit qui s'éteint si l'ayant droit a enfreint l'ordre public, de même que lorsqu'il existe un motif d'expulsion. Les motifs d'expulsion sont ceux énumérés à l'art. 10 al. 1 LSEE, soit notamment si l'étranger, ou une personne aux besoins de laquelle il est tenu de pourvoir, tombe d’une manière continue et dans une large mesure à la charge de l’assistance publique (lettre d). Conformément à l'art. 11 al. 1 RSEE, avant de délivrer à un étranger une autorisation d'établissement, l'autorité examine de nouveau à fond comment il s'est conduit jusqu'alors. Au 2 ème alinéa de la disposition précitée, il est précisé que lorsque l'autorité a fixé la date à partir de laquelle l'établissement pourrait être accordé conformément à l'art. 17 al. 1 LSEE, l'établissement ne pourra pas être accordé avant cette date; cependant, même dans ce cas, l'étranger ne peut prétendre à l'établissement, à moins qu'il n'y ait droit en vertu d'un accord international.</w:t>
      </w:r>
    </w:p>
    <w:p>
      <w:r>
        <w:rPr>
          <w:b/>
        </w:rPr>
        <w:t>E. 2</w:t>
      </w:r>
    </w:p>
    <w:p>
      <w:r>
        <w:t>En l'espèce, le recourant, ressortissante tunisien, a épousé une compatriote titulaire d'un permis C le 10 octobre 2001, de sorte qu'une autorisation de séjour annuelle lui a été délivrée. Il est donc marié depuis plus de cinq ans et il dispose en principe d'un droit à un permis d'établissement dans la mesure où il n'a pas mis un terme à la vie commune. a) Selon la jurisprudence relative à l'art. 10 al. 1 lettre d LSEE, un simple risque d'assistance ne suffit pas; il faut qu'il existe un danger concret à cet égard.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TA PE.2005.0459 du 8 mai 2006).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 b) En l'occurrence, le recourant a certes exercé diverses activités en Suisse depuis son mariage en 2001. Depuis cette date et en 2002 également, il a effectué plusieurs missions temporaires (cf. attestation de 1.*************** SA du 11 avril 2007). Par la suite, il a touché les prestations de l'assurance chômage. De plus, selon l'attestation du CSR de Lausanne du 28 juin 2007, l'intéressé a bénéficié des prestations de l'ASV pour un montant de 4'648 fr. 65, puis la famille XY._________________ a touché un montant du RI s'élevant à 33'147 fr. 20 pour la période comprise entre le 1 er avril 2006 et le 31 mai 2007. En 2007, le recourant a à nouveau été engagé par la société susmentionnée, mais toujours pour du travail temporaire (cf. copie du contrat de mission du 19 juin 2007). Dans ces circonstances, il convient d'admettre que le risque que le recourant, respectivement la famille XY._________________, n'émarge de manière durable à l'aide sociale est concret. Si tel ne devait pas être le cas et si sa situation évoluait de manière positive, l'intéressé aurait d'ailleurs la possibilité de présenter une nouvelle demande. L'autorité intimée était par conséquent justifiée à refuser la transformation de l'autorisation de séjour (permis B) en autorisation d'établissement (permis C).</w:t>
      </w:r>
    </w:p>
    <w:p>
      <w:r>
        <w:rPr>
          <w:b/>
        </w:rPr>
        <w:t>E. 3</w:t>
      </w:r>
    </w:p>
    <w:p>
      <w:r>
        <w:t>Mal fondé, le recours doit être rejeté aux frais de son auteur qui succombe et qui, vue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