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PE.2007.0189 vom 20. September 2007</w:t>
      </w:r>
    </w:p>
    <w:p>
      <w:r>
        <w:t>VD Tribunal cantonal, 2007-09-20, FR</w:t>
      </w:r>
    </w:p>
    <w:p>
      <w:r>
        <w:rPr>
          <w:b/>
        </w:rPr>
        <w:t xml:space="preserve">Quelle: </w:t>
      </w:r>
      <w:r>
        <w:t>https://mcp.opencaselaw.ch/entscheid/vd_omni_PE.2007.0189</w:t>
      </w:r>
    </w:p>
    <w:p>
      <w:r>
        <w:t>FR: VD_OMNI PE.2007.0189 du 20 septembre 2007</w:t>
      </w:r>
    </w:p>
    <w:p>
      <w:r>
        <w:t>IT: VD_OMNI PE.2007.0189 del 20 settembre 2007</w:t>
      </w:r>
    </w:p>
    <w:p>
      <w:pPr>
        <w:pStyle w:val="Heading2"/>
      </w:pPr>
      <w:r>
        <w:t>Regeste</w:t>
      </w:r>
    </w:p>
    <w:p>
      <w:r>
        <w:t>X.________________, Y.________________/Service de la population (SPOP) | Confirmation du refus d'accorder une autorisation d'entrée, respectivement de séjour par regroupement familial à un ressortissant nigérian qui a été arrêté peu de temps après sa venue en Suisse et condamné à une peine de quatre ans de réclusion pour crime contre la LStup. L'intérêt public à son éloignement l'emporte en l'espèce sur son intérêt et celui de son épouse, ressortissante suisse, qu'il a rencontrée durant sa détention, à vivre ensemble en Suisse.</w:t>
      </w:r>
    </w:p>
    <w:p>
      <w:pPr>
        <w:pStyle w:val="Heading2"/>
      </w:pPr>
      <w:r>
        <w:t>Erwägungen</w:t>
      </w:r>
    </w:p>
    <w:p>
      <w:r>
        <w:rPr>
          <w:b/>
        </w:rPr>
        <w:t>E. 1</w:t>
      </w:r>
    </w:p>
    <w:p>
      <w:r>
        <w:t>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let.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Dans son appréciation, l’autorité doit tenir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4</w:t>
      </w:r>
    </w:p>
    <w:p>
      <w:r>
        <w:t>a) Selon l'art. 7 al. 1 LSEE, le droit du conjoint étranger d'un ressortissant suisse à l'octroi ou à la prolongation d'une autorisation de séjour s'éteint lorsqu'il existe un motif d'expulsion. D'après l'art. 10 al. 1 LSEE, l'étranger peut être expulsé de Suisse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Cependant, l'expulsion n'est ordonnée que si elle paraît appropriée à l'ensemble des circonstances et qu'elle respecte le principe de la proportionnalité (art. 11 al. 3 LSEE; ATF 116 Ib 113 consid. 3c p. 117). En vertu de l'art. 8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CEDH n'est toutefois également pas absolue. En effet,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let. a et b LSEE, suppose ainsi une pesée de tous les intérêts privés et publics en présence tant en vertu de l'art. 7 al. 1 LSEE que de l'art. 8 § 2 CEDH (ATF 120 Ib 6 consid. 4a p. 12/13) et l'examen de la proportionnalité de la mesure.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(art. 16 al. 3 RSEE). b)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5</w:t>
      </w:r>
    </w:p>
    <w:p>
      <w:r>
        <w:t>a) Comme relevé par les recourants, selon le ch. 1 al. 2 des dispositions finales de la modification du Code pénal du 13 décembre 2002, entrée en vigueur le 1 er janvier 2007, la peine accessoire de l'expulsion prononcée par un jugement pénal (art. 55 aCP) est supprimée par le fait de l'entrée en vigueur du nouveau droit, si elle a été prononcée en vertu de l'ancien droit. Le nouveau droit est entré en vigueur au 1 er janvier 2007, entraînant à cette date la suppression des expulsions pénales prononcées antérieurement (cf. PE.2006.0543 du 2 mai 2007). b) Bien que le recourant ne soit, depuis le 1 er janvier 2007, plus sous le coup d'une expulsion pénale, il faut toutefois constater qu'il a quitté le territoire suisse le 30 décembre 2005 et qu'une interdiction d'entrée en Suisse pour une durée indéterminée a été prononcée à son encontre en date du 2 mars 2006 par l'Office fédéral des migrations. Par ailleurs, le recourant a été condamné à une peine de quatre ans de réclusion pour crime contre la loi fédérale sur les stupéfiants. Selon ce jugement, il a joué un rôle d'intermédiaire dans un important trafic de stupéfiants, portant sur une quantité d'environ un kilo de cocaïne d'excellente qualité. Au-delà de son rôle d'intermédiaire, il a encore pris des mesures pour que l'opération réussisse. Il a minimisé son action, voulant donner l'impression qu'il n'avait servi d'intermédiaire qu'à une seule reprise, quelque peu fortuitement et a montré une absence de prise de conscience des fautes commises. D'une intelligence supérieure, manipulateur, il a su, aux débats et jusqu'à sa déclaration finale, adopter un profil lisse, dans l'idée d'amadouer ses juges (jugement du Tribunal correctionnel du 31 janvier 2005, p. 31). L'infraction commise est grave et la peine infligée nettement supérieure au seuil des deux ans fixé par la jurisprudence. Il apparaît en outre que le recourant a été arrêté seulement quelques mois après son arrivée en Suisse. La Commission de libération dans sa décision de refus de libération conditionnelle du 2 novembre 2005, n'a en outre pas exclu un important risque de récidive chez l'accusé pour lequel elle n'a pas pu émettre un pronostic favorable, se demandant même si la relation qu'il vivait avec sa fiancée n'était pas purement opportuniste, son seul but étant de pouvoir rester en Suisse et d'y entreprendre des études. Compte tenu de l’ampleur du trafic de stupéfiants auquel il a participé, de l’absence de tout scrupule dont il a fait preuve à l’égard des vies que ce commerce a mis en danger, l’existence d’une menace réelle et actuelle pour l’ordre public suisse est établie à satisfaction. Le fait que le recourant invoque ne pas avoir commis de nouvelles infractions depuis sa libération, tout comme la sincérité de sa relation avec son épouse et le fait qu'il ait beaucoup changé depuis son mariage, ne sont pas déterminants. Le recourant, qui n'a séjourné en Suisse que quelques mois avant son arrestation, ne peut en outre se prévaloir d'aucune attache dans ce pays en dehors de son épouse qu'il a rencontrée durant sa détention et n'a également pas exercé d'activité professionnelle particulière. S'agissant de l'intérêt de la recourante à pouvoir vivre en Suisse avec son mari, il faut constater que celle-ci a épousé X._________________ alors qu'il avait déjà été expulsé de Suisse à la suite de sa condamnation pénale et qu'elle l'a rencontré alors qu'il se trouvait en détention. A ce moment, elle devait savoir qu'il ne bénéficierait pas automatiquement d'une autorisation de séjour, et elle devait donc envisager une installation du couple à l'étranger ou une vie séparée. Le fait que celle-ci, qui a des obligations familiales en Suisse, ne puisse aller vivre à l'étranger n'a pas d'influence sur la présente cause. La jurisprudence retient du reste, à cet égard, que plus le séjour de l'étranger en Suisse apparaît indésirable, en raison de son comportement, plus on doit considérer comme raisonnablement admissible l'installation dans un autre pays des membres de la famille (ATF 120 Ib 6/JdT 1996 I 296, 301; cf. également arrêt du Tribunal fédéral du 10 juillet 2007, 2C.24/2007). Compte tenu de l'ensemble des circonstances, l'intérêt de la collectivité publique à éloigner de Suisse un délinquant ayant enfreint gravement l'ordre et la sécurité publics s'oppose à celui des recourants à vivre ensemble dans ce pays. Ainsi, l'autorité intimée a procédé à une pesée des intérêts en présence qui n'est pas critiquable et respecte le principe de proportionnalité. Le recourant réalise le motif d'expulsion prévu par l'art. 10 al. 1 let. a et b LSEE et la décision attaquée est conforme à l'art. 8 CEDH. Le refus du SPOP ne prête dès lors pas le flanc à la critique.</w:t>
      </w:r>
    </w:p>
    <w:p>
      <w:r>
        <w:rPr>
          <w:b/>
        </w:rPr>
        <w:t>E. 6</w:t>
      </w:r>
    </w:p>
    <w:p>
      <w:r>
        <w:t>Il ressort des considérants qui précèdent que le recours doit être rejeté et la décision attaquée confirmée. Vu l’issue du pourvoi, les frais du présent arrêt seront mis à la charge des recourants et il ne sera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