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PE.2007.0177 vom 13. August 2007</w:t>
      </w:r>
    </w:p>
    <w:p>
      <w:r>
        <w:t>VD Tribunal cantonal, 2007-08-13, FR</w:t>
      </w:r>
    </w:p>
    <w:p>
      <w:r>
        <w:rPr>
          <w:b/>
        </w:rPr>
        <w:t xml:space="preserve">Quelle: </w:t>
      </w:r>
      <w:r>
        <w:t>https://mcp.opencaselaw.ch/entscheid/vd_omni_PE.2007.0177</w:t>
      </w:r>
    </w:p>
    <w:p>
      <w:r>
        <w:t>FR: VD_OMNI PE.2007.0177 du 13 août 2007</w:t>
      </w:r>
    </w:p>
    <w:p>
      <w:r>
        <w:t>IT: VD_OMNI PE.2007.0177 del 13 agosto 2007</w:t>
      </w:r>
    </w:p>
    <w:p>
      <w:pPr>
        <w:pStyle w:val="Heading2"/>
      </w:pPr>
      <w:r>
        <w:t>Regeste</w:t>
      </w:r>
    </w:p>
    <w:p>
      <w:r>
        <w:t>X. c/Service de la population (SPOP) | L'étranger expulsé ne peut déduire de la Convention relative aux droits de l'enfant (CDE; RS 0.107) le droit de rester en Suisse auprès de ses enfants. Il peut en revanche se prévaloir de l'art. 12 CDE, octroyant à l'enfant le droit d'être entendu dans toute procédure le concernant; en l'occurrence, cette audition n'est pas nécessaire lorsque l'autorité examine s'il existe un motif d'expulsion, car on ne voit pas ce que pourraient dire à ce propos des enfants âgés de neuf et six ans, comme en l'occurrence; en outre, il ressort du dossier que le sentiment des enfants à l'égard du recourant sont ambivalents (consid. 1f).</w:t>
      </w:r>
    </w:p>
    <w:p>
      <w:pPr>
        <w:pStyle w:val="Heading2"/>
      </w:pPr>
      <w:r>
        <w:t>Erwägungen</w:t>
      </w:r>
    </w:p>
    <w:p>
      <w:r>
        <w:rPr>
          <w:b/>
        </w:rPr>
        <w:t>E. 1</w:t>
      </w:r>
    </w:p>
    <w:p>
      <w:r>
        <w:t>a) 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Aux termes de l’art. 10 al. 1 LSEE, l’étranger peut être expulsé de Suisse ou d’un canton notamment s’il a été condamné par une autorité judiciaire pour un crime ou un délit (let. a) ou si sa conduite dans son ensemble et ses actes permettent de conclure qu’il ne veut pas s’adapter à l’ordre établi dans le pays qui lui offre l’hospitalité ou qu’il n’en est pas capable (let. b). Il est interdit aux expulsés d’entrer en Suisse; à titre exceptionnel, l’expulsion peut être temporairement suspendue ou entièrement levée (art. 11 al. 3 LSEE). Il convient de tenir compte à cet égard de la gravité de la faute commise par l’étranger, de la durée de son séjour en Suisse et du préjudice qu’il aurait à subir avec sa famille du fait de l’expulsion, respectivement du refus d’accorder ou de prolonger une autorisation de séjour (cf. art. 16 al. 3 RSEE). Le droit à l’octroi d’une autorisation de séjour au sens de l’art. 7 al. 1 LSEE ne s’éteint pas ipso facto parce que le requérant a été précédemment condamné ; la décision à ce propos dépend d’une pesée des intérêts en présence (ATF 120 Ib 6 consid. 4a p. 13). c) A cet égard, le recourant peut se prévaloir du droit au respect de la vie privée et familiale, garanti tant par l’art. 14 Cst. que par l’art. 8 par. 1 CEDH, lequel comprend le droit pour les membres de la famille (soit le recourant, son épouse et leur enfant commun) de vivre ensemble (arrêt de la Cour européenne des droits de l’homme Pinit et autres c. Roumanie, du 22 juin 2004, Recueil 2004-V p. 237ss, par. 149ss). Ce droit n’est toutefois pas absolu. Une ingérence y est possible selon l’art. 8 par. 2 CEDH, pour autant que celle-ci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Savoir ce qu’il en est dépend également d’une pesée des intérêts en présence (ATF 122 II 1 consid.</w:t>
      </w:r>
    </w:p>
    <w:p>
      <w:r>
        <w:rPr>
          <w:b/>
        </w:rPr>
        <w:t>E. 2</w:t>
      </w:r>
    </w:p>
    <w:p>
      <w:r>
        <w:t>Le recours doit ainsi être rejeté et les frais mis à la charge de son auteur; il n’y a pas lieu d’allouer des dépens (art. 55 de la loi du 18 décembre 1989 sur la juridiction et la procédure administratives – LJPA; RSV 173.36). La décision attaquée est confirmée; conformément à la pratique nouvellement instaurée (cf. arrêt PE.2005.0159 du 6 juin 2006), il appartiendra au SPOP de fixer un nouveau délai de départ. Eu égard à l'issue de la cause, la demande de suspension de la procédure jusqu'à droit jugé sur les mesures protectrices de l'union conjugale, requise par le recourant, doit être rejetée. La situation étant claire, il n'est pas davantage nécessaire d'appointer une audience d'instruction et de débats.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