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PE.2007.0156 vom 1. Mai 2007</w:t>
      </w:r>
    </w:p>
    <w:p>
      <w:r>
        <w:t>VD Tribunal cantonal, 2007-05-01, FR</w:t>
      </w:r>
    </w:p>
    <w:p>
      <w:r>
        <w:rPr>
          <w:b/>
        </w:rPr>
        <w:t xml:space="preserve">Quelle: </w:t>
      </w:r>
      <w:r>
        <w:t>https://mcp.opencaselaw.ch/entscheid/vd_omni_PE.2007.0156</w:t>
      </w:r>
    </w:p>
    <w:p>
      <w:r>
        <w:t>FR: VD_OMNI PE.2007.0156 du 1 mai 2007</w:t>
      </w:r>
    </w:p>
    <w:p>
      <w:r>
        <w:t>IT: VD_OMNI PE.2007.0156 del 1 maggio 2007</w:t>
      </w:r>
    </w:p>
    <w:p>
      <w:pPr>
        <w:pStyle w:val="Heading2"/>
      </w:pPr>
      <w:r>
        <w:t>Regeste</w:t>
      </w:r>
    </w:p>
    <w:p>
      <w:r>
        <w:t>X.______________, Y.______________/Service de la population (SPOP) | Confirmation de la révocation d'un permis de séjour obtenu par un ressortissant de Serbie-et-Monténégro sur présentation d'un faux passeport français: le recourant ne pouvait ignorer le caractère illicite de ce passeport, payé 12'000 Euros à un "Albanais"; les autres circonstances du cas (durée du séjour, attaches etc.) ne conduisent pas à renoncer à la révocation.</w:t>
      </w:r>
    </w:p>
    <w:p>
      <w:pPr>
        <w:pStyle w:val="Heading2"/>
      </w:pPr>
      <w:r>
        <w:t>Erwägungen</w:t>
      </w:r>
    </w:p>
    <w:p>
      <w:r>
        <w:rPr>
          <w:b/>
        </w:rPr>
        <w:t>E. 1</w:t>
      </w:r>
    </w:p>
    <w:p>
      <w:r>
        <w:t>En l'espèce, il est établi que le recourant Y._________________ n'est pas un citoyen français, ni ressortissant d'un autre Etat membre de la CE/AELE. a) En vertu de l'art. 9 al. 2 let. a de la loi fédérale du 26 mars 1931sur le séjour et l'établissement des étrangers (LSEE; RS 142.20), l'autorisation de séjour peut être révoquée lorsque l'étranger l'a obtenue par surprise, en faisant de fausses déclarations ou en dissimulant des faits essentiels. Selon la jurisprudence du Tribunal fédéral relative à l'art. 9 al. 4 let. a LSEE (révocation d'une autorisation d'établissement), applicable par analogie à l'art. 9 al. 2 let.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Ib 473, JT 1988 I 197). b) Le recourant Y._________________ ne conteste pas qu'il connaissait l'inauthenticité de son passeport. Du reste, il ne pourrait sérieusement soutenir qu'il aurait cru de bonne foi avoir acquis régulièrement la nationalité française. En effet, le prix payé pour le passeport, sans compter l'absence d'intervention de toute administration, ne lui permettait pas de croire à l'authenticité des papiers de légitimation ainsi obtenus, contrairement à ce qu'il a tenté d'expliquer à la police. De surcroît, en dépit de la confiscation de ce passeport à l'aéroport, le recourant a délibérément continué à se prévaloir de sa prétendue nationalité française pour continuer à séjourner en Suisse. Dans son recours, il explique du reste avoir fait usage de ce document dans le but de rejoindre son frère établi à Lausanne, soit manifestement en toute connaissance de cause. Dans ces circonstances, il faut retenir que le recourant a obtenu une autorisation de séjour CE/AELE par surprise et que sa révocation est justifiée sur le principe.</w:t>
      </w:r>
    </w:p>
    <w:p>
      <w:r>
        <w:rPr>
          <w:b/>
        </w:rPr>
        <w:t>E. 2</w:t>
      </w:r>
    </w:p>
    <w:p>
      <w:r>
        <w:t>Encore faut-il examiner si les autres circonstances du cas conduisent à déroger à ce principe. En effet, comme l'a relevé le Tribunal fédéral dans l'arrêt cité (ATF 112 Ib 473) dont les considérants sont applicables mutatis mutandis à la révocation de l'autorisation de séjour, "[s] i cette autorisation devait être révoquée dans chaque cas où elle aurait été obtenue par surprise, ce motif de révocation équivaudrait à un motif d'extinction, l'autorité compétente n'ayant pratiquement qu'à constater que l'autorisation a pris fin, de la même manière qu'elle doit, pour le motif d'extinction de l'al.</w:t>
      </w:r>
    </w:p>
    <w:p>
      <w:r>
        <w:rPr>
          <w:b/>
        </w:rPr>
        <w:t>E. 3</w:t>
      </w:r>
    </w:p>
    <w:p>
      <w:r>
        <w:t>Les considérants qui précèdent conduisent au rejet du recours selon la procédure de l'art. 35a LJPA, aux frais des recourants qui succombent. Le SPOP ayant imparti au recourant Y._________________ un départ immédiat, il y a lieu de charger cette autorité à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