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PE.2007.0102 vom 19. Juli 2007</w:t>
      </w:r>
    </w:p>
    <w:p>
      <w:r>
        <w:t>VD Tribunal cantonal, 2007-07-19, FR</w:t>
      </w:r>
    </w:p>
    <w:p>
      <w:r>
        <w:rPr>
          <w:b/>
        </w:rPr>
        <w:t xml:space="preserve">Quelle: </w:t>
      </w:r>
      <w:r>
        <w:t>https://mcp.opencaselaw.ch/entscheid/vd_omni_PE.2007.0102</w:t>
      </w:r>
    </w:p>
    <w:p>
      <w:r>
        <w:t>FR: VD_OMNI PE.2007.0102 du 19 juillet 2007</w:t>
      </w:r>
    </w:p>
    <w:p>
      <w:r>
        <w:t>IT: VD_OMNI PE.2007.0102 del 19 luglio 2007</w:t>
      </w:r>
    </w:p>
    <w:p>
      <w:pPr>
        <w:pStyle w:val="Heading2"/>
      </w:pPr>
      <w:r>
        <w:t>Regeste</w:t>
      </w:r>
    </w:p>
    <w:p>
      <w:r>
        <w:t>X. c/Service de la population (SPOP) | Le recourant, ressortissant brésilien né le 1er décembre 1943, a déposé une demande de visa auprès du consulat suisse de Rio de Janeiro afin de venir en Suisse pour suivre un programme de Master en droit européen et en droit international à l'UNIL. Le SPOP a refusé cette demande par décision notifiée le 8 décembre 2006 au Brésil. Le recourant est entre-temps entré en Suisse au moyen d'un visa de tourisme valable 90 jours et a déposé une nouvelle demande d'autorisation de séjours le 20 décembre 2006. Comme aucun recours n'a été déposé contre la première décision du SPOP, la seconde doit être considérée comme une demande de réexamen qui doit être rejetée car aucun élément nouveau n'est intervenu. Recours rejeté.</w:t>
      </w:r>
    </w:p>
    <w:p>
      <w:pPr>
        <w:pStyle w:val="Heading2"/>
      </w:pPr>
      <w:r>
        <w:t>Erwägungen</w:t>
      </w:r>
    </w:p>
    <w:p>
      <w:r>
        <w:rPr>
          <w:b/>
        </w:rPr>
        <w:t>E. 1</w:t>
      </w:r>
    </w:p>
    <w:p>
      <w:r>
        <w:t>LJPA, le recours satisfait par ailleurs aux exigences de forme de l'article 31 alinéa 2 LJPA. Partant, il est recevable à la forme.</w:t>
      </w:r>
    </w:p>
    <w:p>
      <w:r>
        <w:rPr>
          <w:b/>
        </w:rPr>
        <w:t>E. 2</w:t>
      </w:r>
    </w:p>
    <w:p>
      <w:r>
        <w:t>Le Service de la population a rendu, le 14 novembre 2006, une décision refusant au recourant une autorisation de séjour pour études. Cette décision lui a été notifiée le 8 décembre 2006, ce qu'il admet dans sa correspondance du 20 décembre 2006 adressée au Contrôle des habitants de la Ville de Lausanne. Aucun recours n'ayant été déposé contre cette décision, celle-ci est définitive et exécutoire à ce jour. La demande de permis de séjour déposée par le recourant le 20 décembre 2006 peut dès lors être considérée comme une demande de réexamen.</w:t>
      </w:r>
    </w:p>
    <w:p>
      <w:r>
        <w:rPr>
          <w:b/>
        </w:rPr>
        <w:t>E. 3</w:t>
      </w:r>
    </w:p>
    <w:p>
      <w:r>
        <w:t>a) Lorsque l'obligation de procéder à un réexamen d'une décision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b)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Verwaltungsverfahren und Verwaltungsrechtspflege des Bundes, 2e éd., Zurich 1998, n° 740 et 741, p. 260; R. Rhinow/H Koller/K. Kiss, Öffentliches Prozessrecht und Justizverfassungsrecht des Bundes, Francfort-sur-le-Main 1996, n° 1431, p. 272 s.). c)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op. cit., n° 3 ad art. 56, p. 382). d) Dans les deux hypothèses, les faits invoqués doivent être importants, c'est-à-dire de nature à entraîner une modification de l'Etat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 e)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 f) En l'occurrence, le recourant n'invoque aucun élément de fait nouveau intervenu depuis la décision entreprise pour justifier un réexamen. Le seul élément nouveau qui pourrait être pris en compte est le fait que le recourant, après son entrée en Suisse, a suivi des cours à l'Université de Lausanne, sans être autorisé à le faire et qu'il n'a pas quitté notre pays à l'issue de la période de 90 jours pendant laquelle il pouvait y séjourner conformément à son visa. Ces seuls éléments nouveaux sont autant de faits justifiant qu'aucune autorisation de séjour ne soit délivrée au recourant. En effet, conformément à la jurisprudence constante du Tribunal de céans, l'étranger est en principe tenu par les termes de son visa. D'ailleurs, le chiffre 223.1 des Directives ODM sur l'entrée, le séjour et le marché du travail prévoit également qu'aucune autorisation de séjour ne sera en principe accordée à l'étranger entré en Suisse au bénéfice d'un visa délivré en application de l'art. 11 al. 1er de l'OEArr, soit un visa pour des séjours de trois mois au plus effectués notamment aux fins de tourisme, de visite ou d'entretien d'affaires. Dès lors, force est de constater que le recourant a violé les dispositions de police des étrangers en tentant de mettre les autorités devant le fait accompli, ce qui n'est pas admissible (arrêt TA du 16 juillet 2003, PE.2003.0092, notamment). De plus, les demandes de nouvel examen ne sauraient servir, comme mentionné supra, à remettre en question les décisions administratives ni à éluder les dispositions légales relatives au délai de recours. Il appartenait dès lors au recourant de contester la décision du 14 novembre 2006 par un pourvoi devant le Tribunal de céans, s'il estimait que l'autorité de première instance avait fait une fausse application du droit au moment où elle a rendu sa première décision. C'est dès lors à tort que le Service de la population est entré en matière sur la nouvelle demande de permis de séjour déposée par le recourant. Le recours de celui-ci doit dès lors être rejeté et la décision entreprise confirmée.</w:t>
      </w:r>
    </w:p>
    <w:p>
      <w:r>
        <w:rPr>
          <w:b/>
        </w:rPr>
        <w:t>E. 4</w:t>
      </w:r>
    </w:p>
    <w:p>
      <w:r>
        <w:t>Les considérants qui précèdent conduisent dès lors au rejet du recours,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