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PE.2007.0036 vom 30. Juli 2007</w:t>
      </w:r>
    </w:p>
    <w:p>
      <w:r>
        <w:t>VD Tribunal cantonal, 2007-07-30, FR</w:t>
      </w:r>
    </w:p>
    <w:p>
      <w:r>
        <w:rPr>
          <w:b/>
        </w:rPr>
        <w:t xml:space="preserve">Quelle: </w:t>
      </w:r>
      <w:r>
        <w:t>https://mcp.opencaselaw.ch/entscheid/vd_omni_PE.2007.0036</w:t>
      </w:r>
    </w:p>
    <w:p>
      <w:r>
        <w:t>FR: VD_OMNI PE.2007.0036 du 30 juillet 2007</w:t>
      </w:r>
    </w:p>
    <w:p>
      <w:r>
        <w:t>IT: VD_OMNI PE.2007.0036 del 30 luglio 2007</w:t>
      </w:r>
    </w:p>
    <w:p>
      <w:pPr>
        <w:pStyle w:val="Heading2"/>
      </w:pPr>
      <w:r>
        <w:t>Regeste</w:t>
      </w:r>
    </w:p>
    <w:p>
      <w:r>
        <w:t>X.________-Y.________ c/Service de la population (SPOP) | Demande de regroupement familial partiel (par la mère et son mari suisse) différé (la mère vit en Suisse depuis 2000) en faveur de l'enfant de celle-ci né en 1989. L'achèvement de la scolarité de cet enfant ne justifie pas l'octroi de l'autorisation en l'absence de changement quant aux conditions de prise en charge de cet enfant dans le pays d'origine. Rejet du recours.</w:t>
      </w:r>
    </w:p>
    <w:p>
      <w:pPr>
        <w:pStyle w:val="Heading2"/>
      </w:pPr>
      <w:r>
        <w:t>Erwägungen</w:t>
      </w:r>
    </w:p>
    <w:p>
      <w:r>
        <w:rPr>
          <w:b/>
        </w:rPr>
        <w:t>E. 1</w:t>
      </w:r>
    </w:p>
    <w:p>
      <w:r>
        <w:t>a) En vertu de l'art. 7 al. 1 de la loi fédérale sur le séjour et l'établissement des étrangers du 26 mars 1931 (LSEE; RS 142.20), le conjoint étranger d'un ressortissant suisse a droit l'autorisation d'établissement après un séjour régulier et ininterrompu de cinq ans. Selon l'art. 17 al. 2 3 ème phrase LSEE les enfants célibataires âgés de moins de 18 ans ont le droit d'être inclus dans l'autorisation d'établissement aussi longtemps qu'ils vivent auprès de leurs parents. b) En l'espèce, la recourante, mariée à un ressortissant suisse, est au bénéfice d'une autorisation d'établissement. Son fils a déposé le 13 septembre 2006 une demande de regroupement familial en vue de rejoindre sa mère. A l'époque, celui-ci, qui est né le 27 avril 1989, avait 17 ans et quelques mois. Actuellement, il est âgé de plus de 18 ans.</w:t>
      </w:r>
    </w:p>
    <w:p>
      <w:r>
        <w:rPr>
          <w:b/>
        </w:rPr>
        <w:t>E. 2</w:t>
      </w:r>
    </w:p>
    <w:p>
      <w:r>
        <w:t>Selon la jurisprudence (cf. ATF 129 II 11 consid. 3.1.1 p. 14 ; 126 II 329 consid. 2a p. 330 et les arrêts cités), le but de l'art.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alors que, dans ce dernier cas, le droit peut, en principe, être exercé en tout temps sans restriction autre que celle tirée de l'abus de droit (cf. ATF 129 II 11 consid. 3.1.2 p. 14 ; 126 II 329 consid. 3b p. 332/333), il n'existe, en revanche, pas un droit inconditionnel de faire venir auprès du parent établi en Suisse des enfants qui ont grandi à l'étranger dans le giron de leur autre parent ou de proches.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 126 II 329 consid. 3b p. 332 ; 124 II 361 consid. 3a p. 366). Ces restrictions sont pareillement valables lorsqu'il s'agit d'examiner sous l'angle de l'art. 8 CEDH la question du droit au regroupement familial (partiel) d'enfants de parents séparés ou divorcés (cf. ATF 129 II 249 consid. 2.4 p. 256 ; 126 II 329 consid. 3b p. 332 ; 125 II 633 consid. 3a p. 639/640 ; 124 II 361 consid. 3a p. 366 ; 118 Ib 153 consid. 2c p. 160 et les arrêts cités). Dans un arrêt récent publié aux ATF 133 II 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consid. 3 et 5).</w:t>
      </w:r>
    </w:p>
    <w:p>
      <w:r>
        <w:rPr>
          <w:b/>
        </w:rPr>
        <w:t>E. 3</w:t>
      </w:r>
    </w:p>
    <w:p>
      <w:r>
        <w:t>En l'espèce, la recourante réside en Suisse depuis le mois de décembre 2000. Elle bénéficie d'un droit de présence assuré, en vertu de l'art. 7 al. 1 LSEE, depuis son mariage avec un citoyen suisse. Elle aurait donc pu faire venir son fils en Suisse, légalement, depuis de nombreuses années. Or, elle y a manifestement renoncé. Elle a préféré en effet que son enfant termine sa scolarité dans son pays d'origine. Autrement dit, elle a choisi de ne pas faire venir son fils à un âge où il aurait pu s'intégrer en Suisse par le biais de l'école, en y apprenant le français.</w:t>
      </w:r>
    </w:p>
    <w:p>
      <w:r>
        <w:rPr>
          <w:b/>
        </w:rPr>
        <w:t>E. 4</w:t>
      </w:r>
    </w:p>
    <w:p>
      <w:r>
        <w:t>Les recourants expliquent qu'ils ont maintenu des relations avec cet enfant resté au pays, en entretenant avec lui des contacts téléphoniques "périodiques" et en lui rendant visite au moins une fois par année pendant les vacances (5 semaines). Il apparaît que la recourante ne vit plus avec son enfant depuis plus de six ans actuellement. Si elle a pourvu à son entretien et maintenu avec celui-ci les liens que permettaient la distance géographique, elle ne démontre pas que son enfant aurait continué d'entretenir avec elle une relation prépondérante après son départ. Au contraire, on doit inférer des circonstances qu'au fil du temps, cette relation, bien qu'elle n'ait pas été coupée, a par la force des choses perdu de son intensité. Il apparaît que pendant ses années de séparation, les grands-parents ont joué le rôle de parent référent. Parallèlement, cet enfant, en grandissant, a gagné de l'indépendance, y compris vis-à-vis de sa mère. Au moment du dépôt de la demande, il était âgé de 17 ans et quelques mois. Il avait atteint un âge très proche de celui où le jeune peut vivre de manière autonome. En l'état, les circonstances ne permettent pas de se convaincre du fait que cet enfant aurait continué d'entretenir avec sa mère une relation prépondérante. La demande ne peut pas être accueillie sous cet angle.</w:t>
      </w:r>
    </w:p>
    <w:p>
      <w:r>
        <w:rPr>
          <w:b/>
        </w:rPr>
        <w:t>E. 5</w:t>
      </w:r>
    </w:p>
    <w:p>
      <w:r>
        <w:t>A l'appui de leur demande, les recourants exposent que l'enfant concerné a désormais achevé sa scolarité. Il s'agit là d'une circonstance normale et prévisible. On ne se trouve pas dans l'hypothèse où survient un événement sérieux qui a des implications sur les conditions de prise en charge de l'enfant resté au pays. Les recourants n'allèguent d'ailleurs aucun changement des conditions tenant à la prise en charge elle-même de l'enfant concerné. En l'état du dossier, il n'existe aucun changement sérieux de circonstances rendant nécessaire la venue de cet enfant qui a de fortes attaches dans l'environnement familial et socioculturel où il a grandi. La recourante et son mari ont considéré que l'intérêt de l'enfant de celle-ci était de terminer sa scolarité en Thaïlande. Ils n'ont pas exploité la possibilité qui s'offrait à eux de faire venir cet enfant à un âge où il puisse encore s'intégrer en Suisse dans le cadre de l'école. L'expérience de la vie démontre pourtant que l'école représente à cet égard un facteur d'intégration très important. Dans le cas présent, l'enfant concerné, né en 1989, ne parle pas le français; il n'est pas établi que son niveau scolaire soit particulièrement élevé. Dans ces circonstances, la venue de cet enfant en Suisse l'exposerait à des difficultés majeures d'assimilation du fait de la langue et des perspectives de formation professionnelle qui apparaissent, dans ce contexte, d'emblée très limitées, même si son beau-père exploite un hôtel-restaurant. L'enfant concerné a atteint un âge où le but premier n'est plus de vivre auprès de son/ses parent(s), mais où il doit acquérir une formation professionnelle et/ou gagner sa vie de manière à assurer son indépendance, ce que les recourants ne contestent pas sérieusement. Ce point est décisif. Les recourants n'ont pas besoin d'accueillir cet enfant pour poursuivre cet objectif qui peut et doit être réalisé dans le pays d'origine où s'offrent à lui les meilleures chances de réussite en fin de compte. Les recourants, qui ne sont pas sans revenu, ne sont pas privés de fournir à leur fils, respectivement beau-fils, une aide financière substantielle de manière à ce qu'il acquiert sur place une formation professionnelle en adéquation à son bagage et à l'univers dans lequel il a grandi et s'est forgé sa personnalité. En conclusion, la décision attaquée n'est pas contraire au droit fédéral, ni ne procède d'une pesée incorrecte des intérêts en présence. Elle doit être confirmée.</w:t>
      </w:r>
    </w:p>
    <w:p>
      <w:r>
        <w:rPr>
          <w:b/>
        </w:rPr>
        <w:t>E. 6</w:t>
      </w:r>
    </w:p>
    <w:p>
      <w:r>
        <w:t>Les considérants qui précèdent conduisent au rejet du recours aux frais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