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PE.2007.0027 vom 23. März 2007</w:t>
      </w:r>
    </w:p>
    <w:p>
      <w:r>
        <w:t>VD Tribunal cantonal, 2007-03-23, FR</w:t>
      </w:r>
    </w:p>
    <w:p>
      <w:r>
        <w:rPr>
          <w:b/>
        </w:rPr>
        <w:t xml:space="preserve">Quelle: </w:t>
      </w:r>
      <w:r>
        <w:t>https://mcp.opencaselaw.ch/entscheid/vd_omni_PE.2007.0027</w:t>
      </w:r>
    </w:p>
    <w:p>
      <w:r>
        <w:t>FR: VD_OMNI PE.2007.0027 du 23 mars 2007</w:t>
      </w:r>
    </w:p>
    <w:p>
      <w:r>
        <w:t>IT: VD_OMNI PE.2007.0027 del 23 marzo 2007</w:t>
      </w:r>
    </w:p>
    <w:p>
      <w:pPr>
        <w:pStyle w:val="Heading2"/>
      </w:pPr>
      <w:r>
        <w:t>Regeste</w:t>
      </w:r>
    </w:p>
    <w:p>
      <w:r>
        <w:t>A. X.________, B. X.________, C. X.________, D. X.________ c/Service de la population (SPOP) | Le recourant a été condamné en 2000 à une peine de cinq ans de réclusion pour un trafic d'héroïne portant sur 950g de cette drogue. Après avoir fui dans son pays, le recourant est revenu en Suisse purger sa peine. Il a été libéré conditionnellement en 2005, avec un délai d'épreuve de trois ans. Compte tenu de la gravité de la peine infligée et de la menace d'expulsion pesant sur le recourant en cas de réitération dans le délai d'épreuve, le refus de l'autorisation de séjour doit être confirmé.</w:t>
      </w:r>
    </w:p>
    <w:p>
      <w:pPr>
        <w:pStyle w:val="Heading2"/>
      </w:pPr>
      <w:r>
        <w:t>Erwägungen</w:t>
      </w:r>
    </w:p>
    <w:p>
      <w:r>
        <w:rPr>
          <w:b/>
        </w:rPr>
        <w:t>E. 1</w:t>
      </w:r>
    </w:p>
    <w:p>
      <w:r>
        <w:t>La situation étant claire, tant pour ce qui concerne l’établissement des faits que pour l’application du droit, l’audition d’A.X.________ et B.X.________ est superflue.</w:t>
      </w:r>
    </w:p>
    <w:p>
      <w:r>
        <w:rPr>
          <w:b/>
        </w:rPr>
        <w:t>E. 2</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3</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son épouse et leur enfant commun)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PE.2006.0529 du 22 janvier 2007; PE.2006.0674 du 18 janvier 2007; PE.2006.0383 du 9 novembre 2006, PE.2005.0313 du 8 novembre 2006). d) Le 27 septembre 2000, A.X.________ a été condamné à une peine de cinq ans de réclusion pour un trafic d’héroïne portant sur 950g de cette drogue. Durant la procédure de recours cantonale, A.X.________ a fui au Kosovo, abandonnant son épouse et ses enfants en bas âge. Il est revenu en Suisse pour purger sa peine. Il a été remis en liberté conditionnelle, le 22 septembre 2005, avec un délai d’épreuve de trois ans. Indépendamment de son comportement en cours de procédure, les faits pour lesquels A.X.________ a été condamné sont graves, ainsi que la peine infligée. Qu’il bénéficie de la liberté conditionnelle n’y change rien. Les délais d’épreuve courent toujours, y compris pour ce qui concerne la peine d’expulsion. En outre, A.X.________ n’a pas hésité à se soustraire à l’action de la justice, pendant près d’un an et demi. Il est retourné au Kosovo, après quinze ans d’absence. Compte tenu de la peine infligée et de la menace d’expulsion pesant sur le recourant en cas de réitération, et sur le vu de la jurisprudence qui vient d’être rappelée, le SPOP n’a pas mésusé ou abusé de son pouvoir d’appréciation en décidant comme il l’a fait. Le rejet de la demande d’autorisation de séjour réclamée en faveur d’A.X.________ ne prête ainsi pas le flanc à la critique. Sans doute le prix à payer par les recourants est-il lourd. Contrairement à ce qu’il avait envisagé dans un premier temps, le SPOP n’a pris aucune mesure à l’encontre d’B.X.________, C.X.________ et D.X.________, lesquels peuvent rester en Suisse aussi longtemps que leur autorisation de séjour sera renouvelée. L’éloignement du territoire d’A.X.________ aura peut-être pour effet de séparer la famille, sans que cette conséquence ne soit sûre pour autant: les recourants sont libres de retourner en tout temps au Kosovo s’ils le désirent, levant du même coup la restriction à la vie familiale dont ils se plaignent. Pour le surplus, la perspective d’une séparation n’a pas empêché A.X.________ de fuir la Suisse en 2000, époque à laquelle ses enfants étaient âgés de quatre et un ans. En conclusion, compte tenu du pouvoir d’appréciation laissé à l’autorité intimée, de la nature des faits à raison desquels une lourde peine privative de liberté a été prononcée à l’égard d’A.X.________, ainsi que de l’ensemble des circonstances, échappe à la critique l’appréciation du SPOP selon laquelle il n’y a pas lieu d’accorder une autorisation de séjour.</w:t>
      </w:r>
    </w:p>
    <w:p>
      <w:r>
        <w:rPr>
          <w:b/>
        </w:rPr>
        <w:t>E. 4</w:t>
      </w:r>
    </w:p>
    <w:p>
      <w:r>
        <w:t>Le recours doit ainsi être rejeté et la décision attaquée confirmée. Les frais sont mis à la charge des recourants.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