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PE.2006.0679 vom 5. Februar 2007</w:t>
      </w:r>
    </w:p>
    <w:p>
      <w:r>
        <w:t>VD Tribunal cantonal, 2007-02-05, FR</w:t>
      </w:r>
    </w:p>
    <w:p>
      <w:r>
        <w:rPr>
          <w:b/>
        </w:rPr>
        <w:t xml:space="preserve">Quelle: </w:t>
      </w:r>
      <w:r>
        <w:t>https://mcp.opencaselaw.ch/entscheid/vd_omni_PE.2006.0679</w:t>
      </w:r>
    </w:p>
    <w:p>
      <w:r>
        <w:t>FR: VD_OMNI PE.2006.0679 du 5 février 2007</w:t>
      </w:r>
    </w:p>
    <w:p>
      <w:r>
        <w:t>IT: VD_OMNI PE.2006.0679 del 5 febbraio 2007</w:t>
      </w:r>
    </w:p>
    <w:p>
      <w:pPr>
        <w:pStyle w:val="Heading2"/>
      </w:pPr>
      <w:r>
        <w:t>Regeste</w:t>
      </w:r>
    </w:p>
    <w:p>
      <w:r>
        <w:t>X. c/Service de la population (SPOP) | Fait de fausses déclarations, destinées à tromper l'autorité, l'étranger qui obtient une autorisation de séjour sur la présentation de faux documents d'identité (en l'occurrence, un ressortissant cap-verdien s'est prévalu d'un passeport portugais, qui s'est révélé être un faux). Refus de renouvellement de l'autoristion de séjour justifié.</w:t>
      </w:r>
    </w:p>
    <w:p>
      <w:pPr>
        <w:pStyle w:val="Heading2"/>
      </w:pPr>
      <w:r>
        <w:t>Erwägungen</w:t>
      </w:r>
    </w:p>
    <w:p>
      <w:r>
        <w:rPr>
          <w:b/>
        </w:rPr>
        <w:t>E. 1</w:t>
      </w:r>
    </w:p>
    <w:p>
      <w:r>
        <w:t>Faute pour la loi fédérale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PE 1998.0135 du 30 septembre 1998, RDAF 1999 I 242, cons. 4).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w:t>
      </w:r>
    </w:p>
    <w:p>
      <w:r>
        <w:rPr>
          <w:b/>
        </w:rPr>
        <w:t>E. 2</w:t>
      </w:r>
    </w:p>
    <w:p>
      <w:r>
        <w:t>a)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b) Aux termes de l’art. 9 al. 2 LSEE, l’autorisation peut être révoquée lorsque l’étranger l’a obtenue par surprise, en faisant des fausses déclarations ou en dissimulant des faits essentiels. La révocation suppose que la tromperie est intentionnelle; une simple inadvertance ne suffit pas (ATF 112 Ib 473 consid. 3 p. 475-477). Il incombe en outre à l’autorité de faire un usage correct de son pouvoir d’appréciation (ATF 112 Ib 473 consid. 4 et 5 p. 477ss). Les mêmes règles s’appliquent au cas du renouvellement de l’autorisation de séjour (cf. arrêt PE.2006.0016 du 14 novembre 2006). c) Il est établi que le passeport présenté par le recourant pour obtenir l’autorisation de séjour est un faux. Le recourant ne le conteste pas, au demeurant. Au regard des règles de priorité de recrutement (cf. les art. 7 et 8 de l’ordonnance fédérale limitant le nombre des étrangers, du 6 octobre 1978 – OLE; RS 823.21), le SPOP ne lui aurait pas délivré d’autorisation de séjour si le recourant s’était légitimé au moyen d’un passeport indiquant qu’il est un ressortissant de la République du Cap-Vert. Le recourant allègue qu’il lui serait possible de présenter ultérieurement un passeport portugais. Il lui faudrait toutefois pour cela obtenir un passeport cap-verdien, pour ensuite faire reconnaître sa nationalité portugaise. Outre que cette argumentation n’est pas compréhensible (car de deux choses, l’une: ou bien le recourant est portugais et il peut prétendre à l’octroi de l’autorisation, ou il ne l’est pas et l’affaire est réglée), elle équivaut à l’aveu par le recourant de sa nationalité cap-verdienne. Quant aux moyens que le recourant tire de son intégration et de la qualité de son travail, ils ne sont pas déterminants en l’occurrence (cf. pour d’autres cas concernant des ressortissants de la République du Cap-Vert ayant obtenu des autorisations de séjour sur la présentation de faux passeports portugais, cf. les arrêts PE.2004.0673 du 1 er février 2006; PE.1998.0454 du 4 décembre 1998; PE.1997.0678 du 5 mars 1998; PE.1996.0660 du 13 février 1998 ; PE.1996.0093 du 6 janvier 1997).</w:t>
      </w:r>
    </w:p>
    <w:p>
      <w:r>
        <w:rPr>
          <w:b/>
        </w:rPr>
        <w:t>E. 3</w:t>
      </w:r>
    </w:p>
    <w:p>
      <w:r>
        <w:t>Le recours doit ainsi être rejeté et la décision attaquée confirmée. Les frais sont mis à la charge du recourant; l’allocation de dépens n’entre pas en ligne de compte (art. 55 LJPA). Conformément à la pratique nouvellement instaurée (cf. arrêt PE.2005.0159 du 6 juin 2006),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