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PE.2006.0663 vom 2. Juli 2007</w:t>
      </w:r>
    </w:p>
    <w:p>
      <w:r>
        <w:t>VD Tribunal cantonal, 2007-07-02, FR</w:t>
      </w:r>
    </w:p>
    <w:p>
      <w:r>
        <w:rPr>
          <w:b/>
        </w:rPr>
        <w:t xml:space="preserve">Quelle: </w:t>
      </w:r>
      <w:r>
        <w:t>https://mcp.opencaselaw.ch/entscheid/vd_omni_PE.2006.0663</w:t>
      </w:r>
    </w:p>
    <w:p>
      <w:r>
        <w:t>FR: VD_OMNI PE.2006.0663 du 2 juillet 2007</w:t>
      </w:r>
    </w:p>
    <w:p>
      <w:r>
        <w:t>IT: VD_OMNI PE.2006.0663 del 2 luglio 2007</w:t>
      </w:r>
    </w:p>
    <w:p>
      <w:pPr>
        <w:pStyle w:val="Heading2"/>
      </w:pPr>
      <w:r>
        <w:t>Regeste</w:t>
      </w:r>
    </w:p>
    <w:p>
      <w:r>
        <w:t>X. c/Service de la population (SPOP) | Mariage vidé de sa substance entre une ressortissante tchèque et un ressortissant italien titulaire d'une autorisation d'établissement; décision définitive et exécutoire de révocation de l'autorisation de séjour CE/AELE délivrée à la recourante; naissance au mois d'avril 2007 hors mariage d'une petite fille; le père supposé, titulaire d'une autorisation d'établissement, et par ailleurs marié, s'est engagé à reconnaître l'enfant; cette naissance ne suffit pas à admettre le réexamen de la décision de révocation, car la recourante ne peut invoquer le regroupement familial puisque sa fille ne dispose pas d'un droit de présence assuré en Suisse, que cette dernière, nourrisson de deux mois, n'a pu tisser des relations étroites et effectives avec son père supposé, et que par ailleurs, la pesée des intérêts exigée par l'art. 8 § 2 CEDH ne permet pas d'autoriser le séjour de la recourante en Suisse. En effet, elle a eu recours aux prestations de l'assistance publique et elle donne l'impression d'utiliser tous les moyens à sa disposition pour rester en Suisse (indices de mariage fictif, grossesse intervenue alors qu'elle venait d'être avertie de l'éventuelle prise de mesures de contrainte à son encontre, demande de réexamen déposée peu après cet avertissement, absence de mention aux autorités que le père de l'enfant est marié). Recours rejeté.</w:t>
      </w:r>
    </w:p>
    <w:p>
      <w:pPr>
        <w:pStyle w:val="Heading2"/>
      </w:pPr>
      <w:r>
        <w:t>Erwägungen</w:t>
      </w:r>
    </w:p>
    <w:p>
      <w:r>
        <w:rPr>
          <w:b/>
        </w:rPr>
        <w:t>E. 1</w:t>
      </w:r>
    </w:p>
    <w:p>
      <w:r>
        <w:t>a) La demande de réexamen est adressée à une autorité administrative en vue d’obtenir l’annulation ou la modification d’une décision qu’elle a prise. Elle ne doit cependant pas servir à remettre continuellement en question des décisions administratives entrées en force, ni à éluder les dispositions légales sur les délais de recours (ATF 120 Ib 42 consid. 2b p. 47 ; 109 Ib 246 consid. 4a p. 250). Aussi sa recevabilité est-elle soumise à des conditions bien déterminées. En dehors des causes légales de révision,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(ATF 124 II 1 consid. a p. 6 ; 120 Ib 42 consid. 2b p. 46/47 ; André GRISEL, Traité de droit administratif, Vol. II, Neuchâtel 1984, p. 948/949). b) En l’espèce, le fait nouveau qui pourrait amener l’autorité intimée à reconsidérer sa décision est la naissance le 17 avril 2007 de la fille de la recourante. En effet, le but de son séjour est atteint, puisque son mariage est vidé de sa substance, ce qui n’est pas contesté. S’agissant de son éventuel mariage avec son ami titulaire d’une autorisation d’établissement en Suisse, il reste encore hypothétique, vu que la recourante n’est pas divorcée et que son ami non plus. Il convient ainsi d’examiner si la naissance mentionnée justifierait l’octroi d’une autorisation de séjour. aa) Conformément à l'art. 2 al. 1 de l'annexe I de l’accord entre la Communauté européenne et ses Etats membres, d'une part, et la Confédération suisse, d'autre part, sur la libre circulation des personnes, conclu le 21 juin 1999 et entré en vigueur le 1 er juin 2002 (ci-après : ALCP ; RS 0.142.112.681) ,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A cet égard, l'art. 24 al. 1 de l'annexe I ALCP dispose qu'une personne ressortissante d'une partie contractante n'exerçant pas une activité économique dans le pays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d'une assurance-maladie couvrant l'ensemble des risques (let. b). En l’espèce, la recourante n’a pas démontré disposer de moyens financiers propres pour éviter de devoir faire appel à l’assistance publique, puisqu’elle a déjà bénéficié de telles prestations. Les exigences posées à l’art. 24 al. 1 de l’annexe I ALCP ne sont ainsi pas réalisées. bb) Un étranger peut se prévaloir du droit au respect de sa vie privée et familiale garanti par l’art. 8 §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aaa)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les autorisations, les autorités doivent tenir compte des intérêts moraux et économiques du pays, ainsi que du degré de surpopulation étrangère (art. 16 al. 1 LSEE) Elles doivent veiller à assurer un rapport équilibré entre l’effectif de la population suisse et celui de la population étrangère résidante, à créer des conditions favorables à l’intégration des travailleurs et résidents étrangers, à améliorer la structure du marché du travail et à assurer un équilibre optimal en matière d’emploi (art. 1 de l'ordonnance fédérale du 6 octobre 1986 limitant le nombre des étrangers [OLE; RS 823.21]). Ces buts étant légitimes au regard de l’art. 8 § 2 CEDH, le Tribunal fédéral a jugé que la question de savoir si, dans un cas particulier, les autorités étaient tenues d’accorder une autorisation de séjour sur la base de l’art. 8 CEDH devait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bbb) En l’espèce, la recourante ne peut invoquer le regroupement familial pour vivre auprès de son enfant, car ce dernier n’a pas de droit de présence assuré en Suisse, puisque le mari n’est pas le père et que le père supposé de l’enfant n’est pas marié avec la mère. S’agissant des liens entre ce dernier et son père supposé, B.________, il faut au préalable rappeler que l’enfant est un nourrisson de deux mois et qu’ainsi, il n’a pu tisser des relations étroites et effectives avec celui-ci. Par ailleurs, comme il l’a été mentionné ci-dessus, un droit de visite peut être aménagé, même si l’un des parents vit à l’étranger. Au demeurant, le tribunal constate que la recourante est tombée enceinte alors qu’elle était sous le coup d’une décision de renvoi définitive et exécutoire et qu’au surplus, le père de son enfant est marié, et elle pas encore divorcée. D’ailleurs, le tribunal constate que c’est dans la période qui a suivi la réception par la recourante du courrier de l’autorité intimée du 10 juillet 2006, qui l’informait de la prise d’éventuelles mesures de contrainte à son encontre si elle ne devait pas se conformer à la décision de renvoi, qu’elle est tombée enceinte. La situation de la recourante était ainsi très précaire lorsqu’elle a décidé de concevoir un enfant ; les autorités ne sauraient cautionner de tels comportements en délivrant ultérieurement un permis de séjour en raison d’une naissance. En outre, la pesée des intérêts exigée par l’art. 8 § 2 CEDH ne permet pas non plus le séjour de la recourante en Suisse. En effet, elle a eu recours aux prestations de l’assistance publique et elle donne l’impression d’utiliser tous les moyens à sa disposition pour rester en Suisse (indices de mariage fictif selon les déclarations de son époux, grossesse intervenue alors qu’elle venait d’être avertie de l’éventuelle prise de mesures de contrainte à son encontre, demande de réexamen déposée également peu après la réception du courrier de l’autorité intimée du 10 juillet 2006, absence de mention aux autorités que son ami est marié). Il apparaît ainsi que la demande de réexamen doit être rejetée. S’agissant des procédures de divorce et de désaveu de paternité, la présence de la recourante en Suisse ne se révèle pas nécessaire. En effet, selon leur convention sur les effets accessoires du divorce, en particulier, les époux renoncent à toute contribution d’entretien ; ils demeurent propriétaires des biens et objets mobiliers en leur possession ; et il n’y a pas d’avoir de prévoyance professionnelle acquis pendant le mariage. Les effets accessoires du divorce sont ainsi liquidés. S’agissant de la procédure en désaveu de paternité, la présence de la recourante et de sa fille en Suisse n’est de même pas requise, vu que la recourante adhère aux conclusions qui seront prises dans le cadre de cette procédure, et que son mandataire a demandé à la justice de paix d’être désigné curateur de l’enfant.</w:t>
      </w:r>
    </w:p>
    <w:p>
      <w:r>
        <w:rPr>
          <w:b/>
        </w:rPr>
        <w:t>E. 2</w:t>
      </w:r>
    </w:p>
    <w:p>
      <w:r>
        <w:t>Il résulte des considérants qui précèdent que le recours doit être rejeté et la décision attaquée confirmée. Au vu de ce résultat, les frais de justice seront mis à la charge de la recourante qui n’aura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