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PE.2006.0659 vom 5. Februar 2007</w:t>
      </w:r>
    </w:p>
    <w:p>
      <w:r>
        <w:t>VD Tribunal cantonal, 2007-02-05, FR</w:t>
      </w:r>
    </w:p>
    <w:p>
      <w:r>
        <w:rPr>
          <w:b/>
        </w:rPr>
        <w:t xml:space="preserve">Quelle: </w:t>
      </w:r>
      <w:r>
        <w:t>https://mcp.opencaselaw.ch/entscheid/vd_omni_PE.2006.0659</w:t>
      </w:r>
    </w:p>
    <w:p>
      <w:r>
        <w:t>FR: VD_OMNI PE.2006.0659 du 5 février 2007</w:t>
      </w:r>
    </w:p>
    <w:p>
      <w:r>
        <w:t>IT: VD_OMNI PE.2006.0659 del 5 febbraio 2007</w:t>
      </w:r>
    </w:p>
    <w:p>
      <w:pPr>
        <w:pStyle w:val="Heading2"/>
      </w:pPr>
      <w:r>
        <w:t>Regeste</w:t>
      </w:r>
    </w:p>
    <w:p>
      <w:r>
        <w:t>X. c/Service de la population (SPOP) | L'âge du requérant, 34 ans, est trop élevé pour entreprendre une formation de base dans notre pays; c'est donc à juste titre que l'autorisation pour études lui a été refusée, cela d'autant plus qu'il est entré en Suisse au bénéfice d'un visa de visite.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w:t>
      </w:r>
    </w:p>
    <w:p>
      <w:r>
        <w:rPr>
          <w:b/>
        </w:rPr>
        <w:t>E. 3</w:t>
      </w:r>
    </w:p>
    <w:p>
      <w:r>
        <w:t>Selon l'art. 1 er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a) Au préalable, on rappelle que la question des formalités à accomplir avant d'entrer en Suisse est réglée par l'Ordonnance du 14 janvier 1998 concernant l'entrée et la déclaration d'arrivée des étrangers (OEArr). L'art. 3 de cette ordonnance pose comme principe que tout étranger doit avoir un visa pour entrer en Suisse et l'art. 11 al. 3 précise que l'étranger est lié par les indications qui figurent dans son visa concernant le but de son voyage et de son séjour. Lorsque le visa a été délivré en application de l'art. 11 al. 1 OEArr (tourisme, visites, entretiens d'affaires, etc.) et que l'étranger souhaite changer le but de son séjour, aucune autorisation de séjour ne lui sera accordée. Le Tribunal administratif a jugé à plusieurs reprises qu’à défaut de droit à une autorisation de séjour, aucune dérogation à cette règle n'est possible (arrêts PE 2005.0044 du 16 décembre 2005 ; PE.2005.0184 du 20 septembre 2005), sauf en présence de situations particulières telles que par exemple en faveur d'étrangers possédant un droit à une autorisation de séjour (art. 7 et 17 LSEE). En l’espèce, le recourant est entré en Suisse au bénéfice d'un visa de visite ; il ne peut donc pas modifier le but de son séjour et demander une autorisation de séjour pour études. Il aurait dû, le cas échéant, une fois retourné en Algérie, formuler sa demande depuis son pays d'origine et satisfaire aux conditions prévues à l'art. 32 OLE. Pour ce seul motif, l’autorisation requise doit lui être refusée ; en effet, le recourant, qui ne bénéficie d'aucun droit à la délivrance d'une autorisation de séjour en Suisse, ne saurait prétendre à l’octroi d’une dérogation. Au surplus, le recourant ne peut utilement invoquer la protection de sa bonne foi sur ce point ; il n’a jamais allégué avoir réglé sa conduite d’après un comportement déterminé de l’autorité compétente (v. sur ce point ATF 129 I 161, consid. 4.1 ; 361 p. 170, consid. 7.1, p. 381 ; 128 II 112, consid. 10b/aa, p. 125/126 ; 126 II 377, consid. 3a, p. 387 et les arrêts cités). b)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w:t>
      </w:r>
    </w:p>
    <w:p>
      <w:r>
        <w:rPr>
          <w:b/>
        </w:rPr>
        <w:t>E. 4</w:t>
      </w:r>
    </w:p>
    <w:p>
      <w:r>
        <w:t>Il résulte des considérants qui précèdent que le recours doit être rejeté et la décision attaquée confirmée. Au vu de ce résultat, il convient de mettre à la charge du recourant un émolument destiné à couvrir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