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PE.2006.0519 vom 29. Dezember 2006</w:t>
      </w:r>
    </w:p>
    <w:p>
      <w:r>
        <w:t>VD Tribunal cantonal, 2006-12-29, FR</w:t>
      </w:r>
    </w:p>
    <w:p>
      <w:r>
        <w:rPr>
          <w:b/>
        </w:rPr>
        <w:t xml:space="preserve">Quelle: </w:t>
      </w:r>
      <w:r>
        <w:t>https://mcp.opencaselaw.ch/entscheid/vd_omni_PE.2006.0519</w:t>
      </w:r>
    </w:p>
    <w:p>
      <w:r>
        <w:t>FR: VD_OMNI PE.2006.0519 du 29 décembre 2006</w:t>
      </w:r>
    </w:p>
    <w:p>
      <w:r>
        <w:t>IT: VD_OMNI PE.2006.0519 del 29 dicembre 2006</w:t>
      </w:r>
    </w:p>
    <w:p>
      <w:pPr>
        <w:pStyle w:val="Heading2"/>
      </w:pPr>
      <w:r>
        <w:t>Regeste</w:t>
      </w:r>
    </w:p>
    <w:p>
      <w:r>
        <w:t>X/Service de la population (SPOP) | Mariage vidé de sa substance entre une ressortissante roumaine et un Suisse; le couple, resté sans enfant, vit séparé depuis 1 an 1/2 et aucune perspective de reprise de la vie commune ne s'est concrétisée; les propos d'une connaissance du couple, selon laquelle ce dernier serait en voie de réconciliation, ne peuvent être pris au sérieux, puisqu'il s'agit du concubin de la recourante. S'agissant du fait qu'aucune procédure de divorce n'a été engagée, le motif peut résider dans les exigences posées par le droit du divorce à cet égard (art. 114 CC). L'examen du cas à la lumière du ch. 654 des directives LSEE ne permet pas de retenir un cas de rigueur; pas de stabilité professionnelle; la recourante a vécu en Roumanie jusqu'à l'âge de 22 ans, où son fils de 9 ans vit, ainsi que son père, ses soeurs et son frère.</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[ci-après :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Les époux Y.________, restés sans enfant, vivent séparés depuis 1 an ½ et aucune perspective de reprise de la vie commune ne s’est concrétisée. La recourante se prévaut notamment des déclarations de M. B.________, selon lequel le couple serait en voie de réconciliation. Ces propos ne peuvent être pris au sérieux, puisque la recourante et M. B.________ vivent ensemble depuis sa séparation d’avec son époux et qu’il ressort de la décision du 19 décembre 2006 de la Commission professionnelle paritaire de la branche carrelages versée au dossier que la recourante vivrait avec M. B.________ en concubinage. S’agissant du fait qu’aucune procédure de divorce n’avait été engagée, le motif peut également résider dans les exigences posées par le droit du divorce à cet égard. En effet, selon l’art. 114 CC, un époux peut demander le divorce après une suspension de deux ans au moins de la vie commune, qui n’est pas encore réalisée en l’espèce. Le mariage des époux Y.________ a ainsi perdu toute substance. Conséquemment, c’est de manière abusive que la recourante s’en prévaut pour obtenir une autorisation de séjour en Suisse. La décision attaquée est ainsi bien fondée (cf. dans le même sens et en dernier lieu ATF 2A.504/2005 du 12 septembre 2005 et 2A.108/2005 du 28 février 2005; arrêts PE.2006.0283 du 10 octobre 2006; PE.2006.0243 du 5 octobre 2006; PE.2003.0389 du 29 juin 2006, PE.2005.0134 du 29 décembre 2005, PE.2004.0585 du 23 mai 2005, PE.2004.0463 du</w:t>
      </w:r>
    </w:p>
    <w:p>
      <w:r>
        <w:rPr>
          <w:b/>
        </w:rPr>
        <w:t>E. 5</w:t>
      </w:r>
    </w:p>
    <w:p>
      <w:r>
        <w:t>avril 2005). 2. a) Cela étant, en présence d'un abus de droit à invoquer l'art. 7 al. 1 LSEE, il faut examiner, comme en cas de divorce, si au regard des critères posés par les Directives de l'Office fédéral des migrations (Directives LSEE, ch. 654), les circonstances peuvent plaider en faveur du renouvellement des conditions de séjour du recourant (dans ce sens arrêts TA PE 99/0133 du 26 octobre 1999 et PE 00/0472 du 19 février 2001). Les critères déterminants sont à cet égard la durée du séjour, les liens personnels avec la Suisse, la situation professionnelle, la situation économique et du marché de l'emploi, le comportement de l'étranger ainsi que son degré d'intégration. Les autorités décident en principe librement (art. 4 LSEE). b) Dans le cas d'espèce, la recourante n’a pas fait preuve de stabilité professionnelle durant son séjour; elle n’exerce d’ailleurs plus d’activité lucrative depuis le mois de juin 2005. En outre, elle a vécu en Roumanie jusqu’à l’âge de 22 ans ; elle a ainsi passé toute sa jeunesse et la plus grande partie de son existence dans son pays d’origine. Or, ces années apparaissent comme essentielles, puisque c’est précisément pendant cette période que se forge la personnalité, en fonction notamment de l’environnement culturel (cf. ATF 123 II 125 consid. 5b/aa p. 132). Enfin, elle a un fils en Roumanie, âgé de 9 ans, ainsi que son père, ses sœurs et son frère. L’ensemble de ces circonstances ne permet ainsi pas de retenir un cas de rigueur. 3. Il résulte des considérants qui précèdent que le recours doit être rejeté et la décision attaquée maintenue. Un émolument de justice sera mis à la charge de la recourante qui n’a pas droit à des dépens (art. 55 LJPA). Conformément à la pratique nouvellement instaurée (cf. arrêt TA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