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PE.2006.0512 vom 27. Oktober 2006</w:t>
      </w:r>
    </w:p>
    <w:p>
      <w:r>
        <w:t>VD Tribunal cantonal, 2006-10-27, FR</w:t>
      </w:r>
    </w:p>
    <w:p>
      <w:r>
        <w:rPr>
          <w:b/>
        </w:rPr>
        <w:t xml:space="preserve">Quelle: </w:t>
      </w:r>
      <w:r>
        <w:t>https://mcp.opencaselaw.ch/entscheid/vd_omni_PE.2006.0512</w:t>
      </w:r>
    </w:p>
    <w:p>
      <w:r>
        <w:t>FR: VD_OMNI PE.2006.0512 du 27 octobre 2006</w:t>
      </w:r>
    </w:p>
    <w:p>
      <w:r>
        <w:t>IT: VD_OMNI PE.2006.0512 del 27 ottobre 2006</w:t>
      </w:r>
    </w:p>
    <w:p>
      <w:pPr>
        <w:pStyle w:val="Heading2"/>
      </w:pPr>
      <w:r>
        <w:t>Regeste</w:t>
      </w:r>
    </w:p>
    <w:p>
      <w:r>
        <w:t>X. c/Service de la population (SPOP) | Le conjoint qui ne dispose pas d'une autorisation dans un Etat membre de la CE/AELE et qui réclame une autorisation initiale de séjour en Suisse ne peut se prévaloir de l'art. 3 Annexe I ALCP (consid. 3a). Peut rester ouverte en l'espèce la question de savoir si le principe de non-discrimination (permettant au conjoint du titulaire d'une autorisation CE/AELE d'invoquer l'art. 7 LSEE) s'applique même lorsque l'époux résidant en Suisse ne s'associe pas à la demande d'autorisation de séjour (loc. cit.).</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Le recourant s'oppose au refus d’une autorisation de séjour au motif que son union serait intacte. a) Le recourant étant formellement marié avec une ressortissante portugaise titulaire d'une autorisation d'établissement, il sied d'examiner en premier lieu s'il peut se prévaloir, pour réclamer une autorisation de séjour, de I'Accord sur la libre circulation des personnes conclu le 21 juin 1999 entre la Confédération suisse, d’une part, et la Communauté européenne et ses Etats membres, d’autre part (ci-après ALCP [RS 0.142.112.681]). Selon la jurisprudence du Tribunal fédéral, le droit au regroupement familial fondé sur l’art. 3 Annexe I ALCP ne peut être invoqué par un ressortissant d’un Etat tiers que lorsqu’il séjourne déjà légalement en Suisse ou dans un Etat membre de la CE/AELE (ATF 130 II 1 consid. 3.6). Le conjoint qui ne dispose pas d'une autorisation dans un Etat membre de la CE/AELE et qui réclame, comme en l'espèce, une autorisation initiale de séjour en Suisse ne remplit pas ces conditions; il va de soi qu'il en irait différemment s'il demandait le maintien ou la prolongation d'une autorisation de séjour existante. Conformément à la jurisprudence toutefois, le principe de non-discrimination garanti par l'art. 2 ALCP permet au conjoint du titulaire d'une autorisation CE/AELE qui ne peut bénéficier de l'art. 3 Annexe I ALCP de réclamer que sa demande d'autorisation de séjour soit examinée sous l'angle de l'art. 7 LSEE applicable au conjoint d'un citoyen suisse (cf. notamment arrêt du Tribunal fédéral 2A.345/2005 du 30 septembre 2005 consid. 4). La question de savoir si ce principe s'applique même lorsque le conjoint résidant en Suisse ne s'associe pas à la demande d'autorisation de séjour peut rester ouverte, le recours devant de toute façon être rejeté en application de l'art. 7 LSEE. b) L'art. 7 al. 1 LSEE prévoit que le conjoint étranger d'un ressortissant suisse a droit à l'octroi et à la prolongation de l'autorisation de séjour. Après un séjour régulier et ininterrompu de cinq ans, il a droit à l'autorisation d'établissement. Ce droit s'éteint lorsqu'il existe un motif d'expulsion. A l'alinéa 2, il est précisé que ce droit n'existe pas lorsque le mariage a été contracté dans le but d'éluder les dispositions sur le séjour et l'établissement des étrangers, notamment celles sur la limitation du nombre des étrangers. La preuve directe que les époux se sont mariés non pas pour fonder une véritable communauté conjugale, mais seulement dans le but d'éluder les dispositions de la législation sur le séjour et l'établissement des étrangers, ne peut être aisément apportée, comme en matière de mariages dits de nationalité (cf. ATF 98 II 1 ); les autorités doivent donc se fonder sur des indices. La grande différence d'âge entre les époux, l'existence d'une interdiction d'entrée en Suisse prononcée contre le conjoint étranger, le risque de renvoi de Suisse du conjoint étranger - parce que son autorisation de séjour n'a pas été prolongée ou que sa demande d'asile a été rejetée -,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(cf. ATF 122 II 289 consid. 2b p. 295 et les références citées). En outre, pour qu'un mariage puisse être considéré comme fictif, il ne suffit pas qu'il ait été contracté dans le but de permettre au conjoint étranger de séjourner régulièrement en Suisse; encore faut-il que la communauté conjugale n'ait pas été réellement voulue. En d'autres termes, les motifs du mariage ne sont pas décisifs dès l'instant où le mariage et la communauté de vie sont réellement voulus par les époux ( ATF 121 II 97 consid. 3b p. 102). D'après la jurisprudence, invoquer l'art. 7 al. 1 LSEE en vue d’obtenir une autorisation de séjour peut en outre constituer un abus de droit lorsque le mariage n'existe plus que formellement. Tel est le cas lorsque l'union conjugale est définitivement rompue, sans perspective de réconciliation. L'existence d'un tel abus ne doit pas être admise trop facilement. Elle ne peut en particulier être déduite de l'ouverture d'une procédure de divorce - ou de mesures protectrices de l'union conjugale -, ni du fait que les époux ne vivent plus ensemble. C'est précisément pour soustraire le conjoint étranger à l'arbitraire de son époux suisse que le législateur a renoncé à subordonner le droit à l'autorisation de séjour à la condition du ménage commun. Des indices clairs doivent démontrer que la poursuite de la vie conjugale n'est plus envisagée et qu'il n'existe plus de perspective à cet égard (art. 114 CC ; ATF 131 II 265 consid. 4.2; 130 II 113 consid. 4.2; 128 II 145 consid. 2.2 et les arrêts cités).</w:t>
      </w:r>
    </w:p>
    <w:p>
      <w:r>
        <w:rPr>
          <w:b/>
        </w:rPr>
        <w:t>E. 4</w:t>
      </w:r>
    </w:p>
    <w:p>
      <w:r>
        <w:t>En l'espèce, le recourant s'est marié le 7 mars 2005 et, à ses dires, il s'est installé dès cette date avec son épouse. Le 1 er janvier 2006 en tout cas, soit moins de dix mois plus tard, les conjoints ont cessé la vie commune. Le 17 mars 2006, ils ont convenu devant le Tribunal d'arrondissement de Lausanne de vivre séparés. Compte tenu de la différence d'âge (de 10 ans) séparant les époux, des soucis financiers de la conjointe, des grandes difficultés que connaîtrait le recourant pour séjourner en Suisse en l'absence de droits découlant du mariage, de sa première tentative de mariage dans le canton de Fribourg et de son invisibilité aux yeux des concierges et habitants de l'immeuble de l'épouse, il n'est pour le moins pas exclu que la présente union relève de la complaisance. Cette question souffre toutefois de demeurer indécise, dès lors que la prétendue union est de toute façon définitivement rompue. Sur ce dernier point en effet, les déclarations du recourant relatives à une tentative de réconciliation ne convainquent nullement, d'autant qu'elles n'ont pas été étayées par une déclaration de l'épouse, alors qu'une telle pièce, expressément requise, est aisée à obtenir d'une épouse désireuse de préserver au moins l'espoir d'un rapprochement. On précisera encore qu'une autorisation de séjour peut certes être octroyée ou prolongée en vue de permettre à un couple de concrétiser un réel espoir de réconciliation, mais elle doit être refusée lorsqu'il s'agit de faire naître ou renaître une telle perspective inexistante. Force est ainsi de retenir que le mariage du recourant est vidé de sa substance, à supposer qu’il en ait eu. En s’en prévalant pour obtenir une autorisation de séjour, le recourant abuse pour le moins du droit conféré par l’art. 7 al. 1 LSEE. La décision attaquée doit dès lors être confirmée.</w:t>
      </w:r>
    </w:p>
    <w:p>
      <w:r>
        <w:rPr>
          <w:b/>
        </w:rPr>
        <w:t>E. 5</w:t>
      </w:r>
    </w:p>
    <w:p>
      <w:r>
        <w:t>Mal fondé, le recours doit être rejeté aux frais de son auteur qui succombe et qui, vu l’issue de son pourvoi, n’a pas droit à l’allocation de dépens. Il appartiendra au SPOP de fixer au recourant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