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PE.2006.0483 vom 1. März 2007</w:t>
      </w:r>
    </w:p>
    <w:p>
      <w:r>
        <w:t>VD Tribunal cantonal, 2007-03-01, FR</w:t>
      </w:r>
    </w:p>
    <w:p>
      <w:r>
        <w:rPr>
          <w:b/>
        </w:rPr>
        <w:t xml:space="preserve">Quelle: </w:t>
      </w:r>
      <w:r>
        <w:t>https://mcp.opencaselaw.ch/entscheid/vd_omni_PE.2006.0483</w:t>
      </w:r>
    </w:p>
    <w:p>
      <w:r>
        <w:t>FR: VD_OMNI PE.2006.0483 du 1 mars 2007</w:t>
      </w:r>
    </w:p>
    <w:p>
      <w:r>
        <w:t>IT: VD_OMNI PE.2006.0483 del 1 marzo 2007</w:t>
      </w:r>
    </w:p>
    <w:p>
      <w:pPr>
        <w:pStyle w:val="Heading2"/>
      </w:pPr>
      <w:r>
        <w:t>Regeste</w:t>
      </w:r>
    </w:p>
    <w:p>
      <w:r>
        <w:t>c/Service de la population (SPOP) | Confirmation du refus du SPOP de prolonger l'autorisation de séjour d'un ressortissant de Serbie et Monténégro obtenue par mariage avec une Suissesse. Absence d'une réelle union conjugale confirmée sur la base des premières déclarations de l'épouse, confirmées après une rétractation obtenue pour les besoins de la cause.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En vertu de l'art. 7 al. 1 LSEE, le conjoint étranger d'un ressortissant suisse a droit à l'octroi et à la prolongation de l'autorisation de séjour. Après un séjour régulier et ininterrompu de cinq ans, il a droit à l'autorisation d'établissement. Selon l'alinéa 2 de cette disposition, ce droit n'existe pas lorsque le mariage a été contracté dans le but d'éluder les dispositions sur le séjour et l'établissement des étrangers, notamment celles sur la limitation du nombre des étrangers. b)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les autorités doivent donc souvent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(ATF 122 II 289 consid. 2b p. 295 et les références citées). En outre, pour que l'art.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(ATF 121 II 97 consid. 3b p. 102). c) En l’occurrence, il existe de nombreux indices laissent à penser qu’il s’agit d'un mariage conclu en vue de l'obtention d'une autorisation de séjour en marge des dispositions limitant le nombre des étrangers. A ce titre, on relèvera que les époux ont une différence d'âge de dix-neuf ans. Ensuite, il semble que le mariage ait eu lieu dans une certaine urgence car il a été célébré sept jours avant que le recourant dépose une demande de prise d’emploi. En outre, lorsqu’elle a été interrogée, l’épouse du recourant a admis qu’il s’agissait d’un mariage de complaisance, arrangé par une connaissance du recourant, pour lequel elle a été rémunérée. A cette occasion, Z._______________ a également confessé que l’union conjugale n’avait jamais été consommée, son époux n’ayant par ailleurs jamais passé une seule nuit chez elle alors qu’il a toujours indiqué qu’il s’agissait de son domicile. Certes, le Tribunal n’ignore pas les secondes déclarations écrites de l’épouse du recourant, dans lesquelles elle indique avoir constamment vu son mari chez elle, entretenu des relations intimes avec lui et conservé les affaires de celui-ci à son domicile. La crédibilité de celles-ci est toutefois fortement mise en doute par les termes de son courrier du 12 décembre 2006 dans lequel elle indique être revenue sur ses premières déclarations par crainte des conséquences de ses rétractations, sans toutefois préciser desquelles il s’agissait. De plus, l’ignorance du recourant qui, jusqu’au dépôt de son recours, indique une adresse erronée puisque le domicile où il prétend faire ménage commun avec son épouse ne tient aucun compte du changement d’adresse de celle-ci, laisse à penser qu’il n’a jamais résidé avec elle. De surcroît, la soudaine décision du couple de vivre ensemble dans un studio à Lausanne, qui survient quelques jours après le refus de prolonger l’autorisation de séjour du recourant, même si elle est attestée par certains éléments du dossier, apparaît mue par les contraintes de la présente procédure plutôt que par le désir de renforcer des liens d’amour. Au chapitre des éléments qui font sérieusement douter de l’existence d’une véritable volonté de former une union conjugale, on retiendra encore le parcours du recourant en Suisse qui démontre que sa prime volonté est d’y demeurer à tout prix. En effet, après avoir vainement tenté d’obtenir l’asile, il a admis, lors de son interrogatoire du 7 juin 2001, être revenu clandestinement en Suisse le 23 mai 2001. En outre, il a récidivé le 15 mars 2003, alors qu'il faisait l'objet d'une mesure d'interdiction d'entrée en Suisse. Enfin, la non-comparution de Z._______________ lors de l’audience du 14 février 2007 est un élément qui laisse à penser que le recourant ignore une nouvelle fois où elle réside. Il résulte de l'ensemble des circonstances, et notamment des propres déclarations de l’épouse du recourant, que le mariage a été conclu dans le but d'obtenir une autorisation de séjour en faveur de celui-ci et que les époux n’ont aucune volonté de former une union conjugale. La décision du SPOP de refuser la prolongation de l'autorisation de séjour du recourant était en conséquence fondée.</w:t>
      </w:r>
    </w:p>
    <w:p>
      <w:r>
        <w:rPr>
          <w:b/>
        </w:rPr>
        <w:t>E. 4</w:t>
      </w:r>
    </w:p>
    <w:p>
      <w:r>
        <w:t>Vu ce qui précède, le recours doit être rejeté et la décision entreprise maintenue. Succombant, le recourant doit supporter les frais judiciaires. Il appartiendra au SPOP d'impartir au recourant un délai pour quitter le territoire vaudois et de s'assurer de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