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PE.2006.0455 vom 29. Dezember 2006</w:t>
      </w:r>
    </w:p>
    <w:p>
      <w:r>
        <w:t>VD Tribunal cantonal, 2006-12-29, FR</w:t>
      </w:r>
    </w:p>
    <w:p>
      <w:r>
        <w:rPr>
          <w:b/>
        </w:rPr>
        <w:t xml:space="preserve">Quelle: </w:t>
      </w:r>
      <w:r>
        <w:t>https://mcp.opencaselaw.ch/entscheid/vd_omni_PE.2006.0455</w:t>
      </w:r>
    </w:p>
    <w:p>
      <w:r>
        <w:t>FR: VD_OMNI PE.2006.0455 du 29 décembre 2006</w:t>
      </w:r>
    </w:p>
    <w:p>
      <w:r>
        <w:t>IT: VD_OMNI PE.2006.0455 del 29 dicembre 2006</w:t>
      </w:r>
    </w:p>
    <w:p>
      <w:pPr>
        <w:pStyle w:val="Heading2"/>
      </w:pPr>
      <w:r>
        <w:t>Regeste</w:t>
      </w:r>
    </w:p>
    <w:p>
      <w:r>
        <w:t>X/Service de la population (SPOP) | Abus de droit admis pour l'étranger qui invoque le lien juridique du mariage afin d'obtenir le renouvellement de son autorisation de séjour alors que la vie commune a cessé depuis 2002 et qu'une procédure de divorce est en cours.</w:t>
      </w:r>
    </w:p>
    <w:p>
      <w:pPr>
        <w:pStyle w:val="Heading2"/>
      </w:pPr>
      <w:r>
        <w:t>Erwägungen</w:t>
      </w:r>
    </w:p>
    <w:p>
      <w:r>
        <w:rPr>
          <w:b/>
        </w:rPr>
        <w:t>E. 1</w:t>
      </w:r>
    </w:p>
    <w:p>
      <w:r>
        <w:t>a) La loi fédérale sur le séjour et l’établissement des étrangers du 26 mars 1931 (RS 142.20, ci-après : LSEE ou la loi fédérale) pose le principe selon lequel tout étranger a le droit de résider sur le territoire suisse s’il est au bénéfice d’une autorisation de séjour ou d’établissement, ou si, selon la loi fédérale, il n’a pas besoin d’une telle autorisation (art. 1 a LSEE). L’autorisation de séjour est toujours limitée et ne dépassera pas une année la première fois. Elle peut être conditionnelle ou accordée à titre révocable (art. 5 al. 2 LSEE). L’autorisation d’établissement a une durée indéterminée et elle est inconditionnelle (art. 6 al. 1 LSEE). Les autorisations de séjour ou d’établissement ne sont valables que pour le canton qui les a délivrées (art. 8 al. 1 LSEE). Selon l’art. 9 al. 2 LSEE, l’autorisation de séjour peut être révoquée lorsque l’étranger l’a obtenue par surprise, en faisant de fausses déclarations ou en dissimulant des faits essentiels (lit. a), ou lorsque l’une des conditions qui y sont attachées n’est pas remplie ou que la conduite de l’étranger donne lieu à des plaintes graves (lit. b) ou lorsqu’elle n’a été accordée qu’à titre révocable (lit. c). Pour statuer sur l’octroi d’une autorisation, les autorités doivent tenir compte des intérêts moraux et économiques du pays ainsi que du degré de surpopulation étrangère (art. 16 al. 1 LSEE). L’autorité statue librement dans le cadre des prescriptions légales et des traités avec l’étranger (art. 4 LSEE). b)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le cas lorsque l'union conjugale est définitivement rompue, sans perspective de rétablissement.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ATF 131 II 265 consid. 4.2; 130 II 113 consid. 4.2; 128 II 145 consid. 2.2 et les arrêts cités).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Le mariage n'existe plus que formellement lorsque l'union conjugale est rompue définitivement, c'est-à-dire lorsqu'il n'y a plus d'espoir de réconciliation; les causes et les motifs de la rupture ne jouent pas de rôle ( ATF 130 II 113 consid. 4.2 et les arrêts cités). c) Toutefois, dans certains cas, notamment pour éviter des situations d’extrême rigueur, l’autorisation de séjour peut être renouvelée après le divorce ou après la dissolution de la communauté conjugale. Les circonstances suivantes sont déterminantes (chiffre 654 des directives LSEE de l’Office fédéral des migrations):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est important d’en tenir compte pour éviter les situations de rigueur. d) En l'espèce, il ressort du dossier de la cause que le mariage conclu entre le recourant et B. Y.________-Z.________, est vidé de toute substance. Son épouse fait état de violences et de problèmes d'alcoolisme confirmés par une ordonnance de condamnation du 30 septembre 2003 par le juge d'instruction de l'arrondissement de Lausanne. Le couple a cessé toute vie commune depuis 2002 et la procédure de divorce en cours confirme encore que le mariage n'a plus qu'une existence formelle. Le recourant commet un abus de droit en voulant obtenir la prolongation d'une autorisation de séjour en invoquant le rapport juridique d'un mariage vidé de sa substance. Il ne fait en outre pas état de circonstances justifiant l'octroi d'une autorisation pour cas de rigueur. Le recours doit donc être rejeté et la décision attaquée maintenue. Il appartiendra au SPOP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