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PE.2006.0451 vom 23. April 2007</w:t>
      </w:r>
    </w:p>
    <w:p>
      <w:r>
        <w:t>VD Tribunal cantonal, 2007-04-23, FR</w:t>
      </w:r>
    </w:p>
    <w:p>
      <w:r>
        <w:rPr>
          <w:b/>
        </w:rPr>
        <w:t xml:space="preserve">Quelle: </w:t>
      </w:r>
      <w:r>
        <w:t>https://mcp.opencaselaw.ch/entscheid/vd_omni_PE.2006.0451</w:t>
      </w:r>
    </w:p>
    <w:p>
      <w:r>
        <w:t>FR: VD_OMNI PE.2006.0451 du 23 avril 2007</w:t>
      </w:r>
    </w:p>
    <w:p>
      <w:r>
        <w:t>IT: VD_OMNI PE.2006.0451 del 23 aprile 2007</w:t>
      </w:r>
    </w:p>
    <w:p>
      <w:pPr>
        <w:pStyle w:val="Heading2"/>
      </w:pPr>
      <w:r>
        <w:t>Regeste</w:t>
      </w:r>
    </w:p>
    <w:p>
      <w:r>
        <w:t>c/Service de la population (SPOP) | Précision de jurisprudence selon l'art. 21 ROTA: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Tel n'est pas le cas en l'espèce, s'agissant d'une mère indienne voulant financer la dot de ses filles par une activité lucrative en Suisse.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 'espèce,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Pour le surplus, on ne discerne pas quelle autorisation de séjour fondée sur la LSEE proprement dite pourrait être délivrée à la recourante. Il reste donc à examiner la présente cause sous l'angle de l'art. 13 let. f OLE. 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et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Le Tribunal administratif conçoit ces " autres motifs " comme des motifs de police des étrangers (existence d'infractions aux prescriptions de police des étrangers, motifs d'expulsion, d'assistance publique, etc.; entre autres arrêts, PE.2003.0459 du 15 septembre 2004). Le Tribunal administratif a encore ajouté que l'autorité cantonale ne peut refuser de soumettre la requête de l'étranger à l'autorité fédérale compétente en vue de l'octroi d'une éventuelle exception aux mesures de limitation que s'il existe des motifs valables tirés de la LSEE (PE.1999.0182). b) La jurisprudence cantonale mérite d'être précisée. On rappellera en liminaire que les cantons demeurent libres, dans le cadre de l’art. 4 LSEE, de refuser de délivrer une autorisation de séjour à un étranger, fût-elle hors contingent; ils n’ont aucune obligation de proposer à l'ODM une exemption, même si l'étranger en cause se trouve de fait dans un cas de rigueur et pourrait en principe être mis au bénéfice de l'exception (cf. Alain Wurzburger, La jurisprudence récente du Tribunal fédéral en matière de police des étrangers, RDAF 1997 I p. 267 ss, spéc. p. 290). Théoriquement, les cantons peuvent ainsi librement subordonner la transmission de dossiers à l'ODM à des critères plus ou moins rigoureux. Pour sa part, selon la jurisprudence du Tribunal administratif exposée ci-dessus, le canton de Vaud refuse une telle transmission lorsque l'étranger réalise des motifs de refus découlant de la police des étrangers (existence d'infractions aux prescriptions de police des étrangers, motifs d'expulsion, d'assistance publique, etc.); à l'inverse, il doit transmettre le dossier en l'absence de tels motifs. Cela pourrait toutefois signifier qu'il suffirait à un étranger "sans tache" de prétendre à une autorisation pour cas de rigueur pour obliger le SPOP à transmettre son dossier à l'ODM, et cela sans que ne soit examinée la question de savoir s'il se trouve, ou non, dans un tel cas de rigueur. C'est sur ce point qu'une précision s'impose. Si, à l'instar des autres cantons, le canton de Vaud peut librement subordonner la transmission de dossiers à l'ODM aux critères de son choix, il convient néanmoins qu'il se réfère à cet égard aux critères développés par l'ODM et le Tribunal fédéral ( cf. consid. c ci-dessous). Les motifs de refus découlant de la police des étrangers ne seront pas écartés, mais pris en compte dans l'examen " de l'ensemble des circonstances ", singulièrement sous l'angle de l'intégration. Il sied en conséquence de retenir ce qui suit: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c)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II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L 'exemption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 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 ATF 123 II 125 consid. 5b/dd). Cela étant, selon la jurisprudence du Tribunal administratif, l'art. 13 let. f OLE figure au chapitre 2 de la loi intitulé " Etrangers exerçant une activité lucrative ". Par définition, l'application de cette disposition suppose par conséquent que l'étranger concerné exerce une telle activité (v. PE.2005.0264 du 27 avril 2006 consid. 2; Alain Wurzburger, op. cit., p. 291).</w:t>
      </w:r>
    </w:p>
    <w:p>
      <w:r>
        <w:rPr>
          <w:b/>
        </w:rPr>
        <w:t>E. 5</w:t>
      </w:r>
    </w:p>
    <w:p>
      <w:r>
        <w:t>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w:t>
      </w:r>
    </w:p>
    <w:p>
      <w:r>
        <w:rPr>
          <w:b/>
        </w:rPr>
        <w:t>E. 6</w:t>
      </w:r>
    </w:p>
    <w:p>
      <w:r>
        <w:t>En l'espèce, il convient d'examiner si le renvoi de la recourante la placerait dans un cas de rigueur. a) L'intéressée entendant exercer une activité lucrative mais ne pouvant se prévaloir d'aucune perspective concrète en ce sens, on peut se demander si l'art. 13 let. f OLE trouve application. La question souffre néanmoins de rester indécise, les critères de l'art. 13 let. f OLE s'appliquant par analogie à l'art. 36 OLE. b) La recourante est veuve et justifie sa demande d'autorisation de séjour par la volonté de rester un certain temps en Suisse, pour y accumuler quelque argent destiné à l'entretien - y compris la constitution d'une dot - de ses trois filles restées au pays. Il ressort des documents produits que la pratique de la dot, pourtant interdite par une loi depuis 1961 déjà, reste vivace dans son pays. La mort pour cause de dot coûterait chaque année la vie à des milliers de jeunes femmes dans des circonstances atroces. Une association du droit de la femme basée à Bangalore a lancé une enquête à ce sujet en 1997 qui a confirmé qu'une grande majorité des cas enregistrés comme accidents et suicides à Bangalore (une centaine par mois) étaient en vérité des crimes prémédités et exécutés de sang-froid (v. Le Monde diplomatique, Femmes d'Asie en butte à la violence, mai 2001; v. aussi, Inde, La lutte contre la peur et la discrimination, L'impact de la violence contre les femmes en Uttar Pradesh et au Rajasthan, Amnesty International, 2001). Cette situation est certes difficile. Toutefois, conformément à la jurisprudence, l'exemption des mesures de limitation n'a pas pour but de soustraire le requérant aux conditions de vie de son pays d'origine, notamment aux conditions économiques et sociales, affectant l'ensemble de la population restée sur place, sauf si les recourants allèguent d'importantes difficultés concrètes propres à leur cas particulier. En l'espèce, la recourante n'établit pas qu'elle serait confrontée à des difficultés plus importantes que celle des autres femmes du sous-continent indien mères d'enfants de sexe féminin. Son veuvage, même s'il aggrave encore la situation, ne constitue pas un élément si inhabituel dans la population qu'il la placerait dans une situation de rigueur. Par ailleurs, il n'est pas davantage établi que Bangalore serait plus touchée que d'autres parties du sous-continent indien par les crimes liés à la dot. Au demeurant , elle n'a pas indiqué en quoi ses filles - dont l'aînée a quinze ans et la cadette moins de douze ans - se trouveraient d'emblée plus exposées que leurs compatriotes à une vengeance de leur belle-famille potentielle. Pour le surplus, la recourante n'a pas donné d'explications concrètes sur la situation de ses filles à l'heure actuelle, ni sur les membres de sa famille ou sur les personnes proches qui prennent soin des enfants pendant son absence. De surcroît, en principe, une autorisation de séjour pour cas de rigueur ne peut être accordée à un étranger que lorsque celui-ci se trouve lui-même dans une telle situation (entre autres arrêts, PE.2006.0030 du 18 mai 2006). Même si la recourante craint pour l'avenir de ses filles, elle ne se situe pas elle-même dans un cas de détresse personnelle, le but de son séjour étant, comme elle l'a expliqué, dicté par des raisons économiques. Elle a certes trouvé en Suisse un fort soutien, notamment de la part de son hôtesse, mais rien ne permet de dire qu'elle y a des attaches particulièrement fortes, d'autant moins qu'elle n'entend pas y rester, mais repartir dans son pays d'origine à court terme, une fois rassemblé l'argent nécessaire à ses filles. c) Au vu de l'ensemble des circonstances, les arguments invoqués à l'appui du recours ne sauraient être retenus et la recourante ne peut pas prétendre à l'octroi d'une autorisation de séjour humanitaire, étant encore précisé qu'on ne discerne pas quels motifs de politique générale seraient réalisés en l'espèce. Le SPOP n'a donc pas abusé de son pouvoir d'appréciation en refusant de délivrer l'autorisation de séjour sollicitée et en ne transmettant pas le dossier à l'Office fédéral des migrations, les conditions d'application de l'art. 13 let. f OLE n'étant pas remplies.</w:t>
      </w:r>
    </w:p>
    <w:p>
      <w:r>
        <w:rPr>
          <w:b/>
        </w:rPr>
        <w:t>E. 7</w:t>
      </w:r>
    </w:p>
    <w:p>
      <w:r>
        <w:t>S'agissant enfin de la conclusion de la recourante tendant à l'octroi d'une admission provisoire, elle doit être rejetée pour les mêmes motifs, à la supposer recevable. On soulignera à toutes fins utiles que l'autorité cantonale de police des étrangers ne peut que proposer l'admission provisoire à l'ODM (art. 14b al. 1 LSEE). Cela dit, au moment de l’extension de la décision cantonale de renvoi, le problème de l’exigibilité du renvoi ou au contraire de son impossibilité, justifiant cas échéant une éventuelle admission provisoire, pourrait être examiné par l’ODM (art. 12 al. 3 et 14a al. 1 LSEE).</w:t>
      </w:r>
    </w:p>
    <w:p>
      <w:r>
        <w:rPr>
          <w:b/>
        </w:rPr>
        <w:t>E. 8</w:t>
      </w:r>
    </w:p>
    <w:p>
      <w:r>
        <w:t>Il résulte des considérants qui précèdent que le recours doit être rejeté et la décision querellée confirmée. Compte tenu de la situation financière de la recourante, les frais sont laissés à la charge de l'Etat. L'autorité intimée fixera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