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PE.2006.0387 vom 14. Februar 2007</w:t>
      </w:r>
    </w:p>
    <w:p>
      <w:r>
        <w:t>VD Tribunal cantonal, 2007-02-14, FR</w:t>
      </w:r>
    </w:p>
    <w:p>
      <w:r>
        <w:rPr>
          <w:b/>
        </w:rPr>
        <w:t xml:space="preserve">Quelle: </w:t>
      </w:r>
      <w:r>
        <w:t>https://mcp.opencaselaw.ch/entscheid/vd_omni_PE.2006.0387</w:t>
      </w:r>
    </w:p>
    <w:p>
      <w:r>
        <w:t>FR: VD_OMNI PE.2006.0387 du 14 février 2007</w:t>
      </w:r>
    </w:p>
    <w:p>
      <w:r>
        <w:t>IT: VD_OMNI PE.2006.0387 del 14 febbraio 2007</w:t>
      </w:r>
    </w:p>
    <w:p>
      <w:pPr>
        <w:pStyle w:val="Heading2"/>
      </w:pPr>
      <w:r>
        <w:t>Regeste</w:t>
      </w:r>
    </w:p>
    <w:p>
      <w:r>
        <w:t>c/Service de la population (SPOP) | Père originaire de la RDC ayant obtenu un permis B suite à son mariage avec une titulaire du permis d'établissement et qui souhaite obtenir un permis pour 2 de ses 3 enfants au titre du regroupement familial (enfants déjà en Suisse, entrés illégalement). Les documents produits apparaissent suspects et le dossier révèle des incohérences; le SPOP était ainsi parfaitement fondé à exiger un test ADN. Le recourant a refusé de s'y soumettre et le lien de filiation n'a pas pu être prouvé. Un regroupement familial n'entre dès lors pas en ligne de compte.</w:t>
      </w:r>
    </w:p>
    <w:p>
      <w:pPr>
        <w:pStyle w:val="Heading2"/>
      </w:pPr>
      <w:r>
        <w:t>Erwägungen</w:t>
      </w:r>
    </w:p>
    <w:p>
      <w:r>
        <w:rPr>
          <w:b/>
        </w:rPr>
        <w:t>E. 1</w:t>
      </w:r>
    </w:p>
    <w:p>
      <w:r>
        <w:t>Aux termes de l'art. 4 al. 1 de la loi vaudoise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4</w:t>
      </w:r>
    </w:p>
    <w:p>
      <w:r>
        <w:t>Les dispositions relatives au regroupement familial, soit respectivement l'art. 17 al. 2, 3ème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d'un permis B - délivré sur le contingent cantonal des autorisations annuelles - à faire venir en Suisse son conjoint et ses enfants célibataires dont il a la charge) ne sont pas applicables dans le cas présent. Aucune de ces dispositions ne vise en effet la situation dans laquelle se trouvent les recourants, dont le père a obtenu un permis B à la suite de son mariage avec une titulaire d'un permis d'établissement (art. 17 LSEE) et non pas par la délivrance d'une unité du contingent annuel (cf. arrêts TA PE 2002.0181 du 5 juillet 2002 et PE 2003.0039 du 2 septembre 2003). Seul pourrait donc entrer en ligne de compte l'art.</w:t>
      </w:r>
    </w:p>
    <w:p>
      <w:r>
        <w:rPr>
          <w:b/>
        </w:rPr>
        <w:t>E. 8</w:t>
      </w:r>
    </w:p>
    <w:p>
      <w:r>
        <w:t>de la Convention de sauvegarde des droits de l'homme et des libertés fondamentales du 4 novembre 1950 (CEDH), qui garantit à toute personne le respect de sa vie familiale, de son domicile et de sa correspondance (Alain Wurzburger, La jurisprudence récente du Tribunal fédéral en matière de police des étrangers, RDAF 1997 I 267, spéc. p. 280 et 285; ATF 122 II 385 cons. 4). Pour invoquer cette garantie, il faut néanmoins que la personne qui réside en Suisse ait un droit de présence assuré. C'est le cas pour les ressortissants suisses, les établis et les étrangers ayant un droit à l'autorisation de séjour (Karin Sidi-Ali, Intégration et regroupement familial, RDAF 2006 I 9 ss ; ATF 130 II 281 = RDAF 2005 I 646 ; ATF 126 II 335, c. 2a = RDAF 2001 I 686). Un étranger peut ainsi, selon les circonstances, se prévaloir du droit au respect de sa vie privée et familiale garanti par cette disposition pour s'opposer à l'éventuelle séparation de sa famille et obtenir une autorisation de séjour pour ses enfants. Encore faut-il cependant que la relation entre l'étranger ayant le droit de s'établir en Suisse et son enfant soit étroite et effective (voir ATF 124 II 361 cons. 3a p. 366). Si les deux parents sont séparés ou divorcés, ou encore si l'un d'eux se trouve en Suisse et l'autre à l'étranger, il ne s'agit alors pas de regrouper la famille dans son ensemble. Dans de telles situations, on ne saurait admettre un droit inconditionnel à faire venir les enfants en Suisse (ATF 125 II 633, JdT 2001 I 331, consid. 3a et références citées), de sorte que cette disposition doit alors être appliquée de manière plus restrictive dans une telle situation familiale (ATF non publié du 12 janvier 2005 en la cause 2A.383/2004, consid. 3). 5. En l’espèce, l'autorité intimée relève principalement que le lien de filiation entre X._________________, d’une part, et Z._________________ et A._________________, d’autre part, n’est pas établi à satisfaction de droit. Elle se réfère avant tout au préavis de l’Ambassade suisse du pays d’origine des recourants, selon lequel la pratique des autorités congolaises en matière d’acte d’état civil et de documents d’identité exclut une détermination fiable de l’identité et de la filiation des enfants par des moyens conventionnels. A cet égard, il est vrai que plusieurs documents produits apparaissent suspects : - les actes de naissance de Z._________________ et A._________________, établis en RDC portent la date du 18 mars 2003, alors que les recourants seraient nés respectivement en 1990 et 1997 ; il faut en outre relever qu’il s’agit de simples témoignages protocolés (de la mère et de tiers) et non d’attestations émanant d’une autorité ou de l’hôpital où seraient nés les enfants ; - le jugement de divorce de X._________________, mentionnant trois enfants légitimes, indique avoir été rendu le 15 juin 1998 en présence du recourant, alors que celui-ci était à ce moment en Suisse en tant que requérant d’asile, statut qui ne lui permettait pas de quitter la Suisse ; - la carte d’indenté de X._________________, établie à Kinshasa le 8 juillet 1985 indique que celui-ci aurait 3 enfants : ****************, né le 4 juillet 1990, **************** (suite illisible), né le 20 janvier 1992, et **************** (suite illisible), né le 16 avril 1994 ou 1997 (peu lisible) ; selon les procès-verbaux d’audition du recourant rédigés dans le cadre de la procédure d’asile en 1997 et signés par ce dernier, ces 3 enfants seraient : ****************, né le 4 avril 1990, ****************, né(née ?) le 29 janvier 1992, et **************** née le 16 avril 1994. Par courrier du 17 août 2006, le recourant a expliqué que le collaborateur de l’ODM qui l’avait auditionné avait mal lu sa carte d’identité ; il n’en reste pas moins que le recourant avait à l’époque signé le procès-verbal en cause sans y apporter de correction. En revanche, le passeport présenté par le recourant, établi par l’Ambassade de RDC à Genève et daté du 5 juin 2003, comporte des indications corroborant les dires de l'intéressé. Il ne peut être toutefois considéré comme une preuve suffisante à lui seul. Le recourant n’indique par ailleurs pas dans quelles circonstances ce nouveau passeport a été établi. L’étude du dossier révèle encore d’autres incohérences en matière d’état civil. Selon le jugement de divorce et le rapport d’arrivée de Z._________________, la mère des enfants s’appelle ****************, alors que selon le rapport d’arrivée de A._________________, elle s’appelle **************** (on précisera que ces deux rapports ont été remplis par le recourant le même jour). Enfin, selon l’acte de naissance des enfants, la mère s’appelle ****************. Lorsque l'expérience démontre que l'authenticité des documents d'état civil issus par certains pays est douteuse, la jurisprudence tend à exiger de plus en plus systématiquement des ressortissants de ces pays qu'ils établissent leurs liens de filiation allégués par un test ADN, avec l'aide de la représentation suisse sur place. En effet, il s’agit d’un élément essentiel, qui ne devrait pas être laissé incertain par l’autorité dans le cadre de la maxime d’office (dans ce sens, ATF 2A.383/2004 du 12 janvier 2005 consid. 5.2 et arrêts TA PE 2006.220 du 12 octobre 2006 consid. 1, PE.2005.0230 du 28 mars 2006, tous deux concernant un ressortissant de la RDC). En l’occurrence, au vu de la situation confuse exposée ci-dessus, le SPOP était parfaitement fondé à exiger un test ADN à titre de preuve. Or, le recourant a refusé de se soumettre avec ses enfants prétendus à un tel test. Peu importe la nature des raisons ayant motivé ce refus. La conséquence en est que le lien de filiation unissant le recourant à Z._________________ et A._________________ n’a pas été prouvé, pas plus sur le plan de l’état civil que sur le plan biologique. Un regroupement familial n’entre dès lors pas en ligne de compte si la filiation n’a pas été établie. 6. Enfin, bien que cela ne soit pas toujours déterminant en tant que tel (cf. ATF 2A.383/2004 déjà cité), les recourants Z._________________ et A._________________ ont enfreint plusieurs dispositions de la LSEE en entrant illégalement en Suisse, sans passeport, ni visa. Il faut relever au demeurant que les circonstances de leur arrivée en Suisse sont obscures, en particulier pour ce qui concerne A._________________ : selon le rapport d’arrivée, il séjournerait en Suisse depuis le mois de mars 2003. D’après le recours, il aurait rejoint son père en 2002 déjà, et selon la demande du 28 décembre 2003, à fin novembre 2003 seulement (avec sa sœur). 7. Les considérants qui précèdent conduisent au rejet du recours aux frais des recourants qui succombent et qui, vu l’issue de leur pourvoi, n’ont pas droit à l’allocation de dépens (art. 55 al. 1 LJPA). Le SPOP est chargé de veiller à l’exécution de sa décision et un nouveau délai sera imparti à A._________________ et Z._________________ pour quitter le territoire vaudois (art. 12 al. 3 LSEE)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