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PE.2006.0379 vom 4. September 2006</w:t>
      </w:r>
    </w:p>
    <w:p>
      <w:r>
        <w:t>VD Tribunal cantonal, 2006-09-04, FR</w:t>
      </w:r>
    </w:p>
    <w:p>
      <w:r>
        <w:rPr>
          <w:b/>
        </w:rPr>
        <w:t xml:space="preserve">Quelle: </w:t>
      </w:r>
      <w:r>
        <w:t>https://mcp.opencaselaw.ch/entscheid/vd_omni_PE.2006.0379</w:t>
      </w:r>
    </w:p>
    <w:p>
      <w:r>
        <w:t>FR: VD_OMNI PE.2006.0379 du 4 septembre 2006</w:t>
      </w:r>
    </w:p>
    <w:p>
      <w:r>
        <w:t>IT: VD_OMNI PE.2006.0379 del 4 settembre 2006</w:t>
      </w:r>
    </w:p>
    <w:p>
      <w:pPr>
        <w:pStyle w:val="Heading2"/>
      </w:pPr>
      <w:r>
        <w:t>Regeste</w:t>
      </w:r>
    </w:p>
    <w:p>
      <w:r>
        <w:t>X. /Service de la population (SPOP) | Le recourant, clandestin, demande la régularisation de ces conditions de séjour et de travail. Refus du SPOP de lui délivrer une autorisation de séjour et de transmettre le dossier à l'ODM en vue d'une éventuelle exemption aux mesures de limitation. Rejet du recours en l'absence de toute circonstance particulière. Rejet du recours.</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fût-elle hors contingent, et prononcé son renvoi du territoire cantonal. Il a dès lors refusé de transmettre le dossier du recourant à l'Office fédéral des migrations en vue d'une éventuelle exemption de l'intéressé des mesures de limitation au sens de l'art. 13 lettre f OLE, au motif notamment que le recourant avait commis des infractions aux prescriptions de police des étrangers (séjour et travail clandestins).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En l'espèce, il résulte du dossier que le recourant, en bonne santé, est bien intégré sur le plan socioprofessionnel et est financièrement autonome. Son ascension professionnelle ne saurait toutefois être qualifiée de remarquable. Quoi qu'il en soit, le recourant ne peut se prévaloir de circonstances personnelles à ce point exceptionnelles que le retour dans son pays d'origine – où il a passé la majeure partie de sa vie - constituerait un véritable déracinement. Le fait qu’un de ses frères et une soeur habitent en Suisse n’est pas déterminant.</w:t>
      </w:r>
    </w:p>
    <w:p>
      <w:r>
        <w:rPr>
          <w:b/>
        </w:rPr>
        <w:t>E. 3</w:t>
      </w:r>
    </w:p>
    <w:p>
      <w:r>
        <w:t>En résumé, s'il ne faut pas exagérer l'importance des infractions inhérentes à la condition de travailleur clandestin, à savoir entrée, séjour et travail en Suisse sans autorisation (ATF 130 II 39 consid. 5.2), le SPOP n'avait toutefois pas l'obligation de transmettre à l'Office fédéral des migrations le dossier du recourant, vu l'absence de circonstances particulières. Le recourant ne se trouve manifestement pas dans un état de détresse justifiant de l'exempter des mesures de limitation du nombre des étrangers, même si l'on faisait abstraction de l'illégalité de son séjour en Suisse. La décision attaquée doit donc être confirmée.</w:t>
      </w:r>
    </w:p>
    <w:p>
      <w:r>
        <w:rPr>
          <w:b/>
        </w:rPr>
        <w:t>E. 4</w:t>
      </w:r>
    </w:p>
    <w:p>
      <w:r>
        <w:t>Vu ce qui précède, le recours doit être rejeté, sous suite de frais à la charge du recourant, qui n'a pas droit à l'allocation de dépens. Il incombe au SPOP de fixer au recourant un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