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PE.2006.0338 vom 3. November 2006</w:t>
      </w:r>
    </w:p>
    <w:p>
      <w:r>
        <w:t>VD Tribunal cantonal, 2006-11-03, FR</w:t>
      </w:r>
    </w:p>
    <w:p>
      <w:r>
        <w:rPr>
          <w:b/>
        </w:rPr>
        <w:t xml:space="preserve">Quelle: </w:t>
      </w:r>
      <w:r>
        <w:t>https://mcp.opencaselaw.ch/entscheid/vd_omni_PE.2006.0338</w:t>
      </w:r>
    </w:p>
    <w:p>
      <w:r>
        <w:t>FR: VD_OMNI PE.2006.0338 du 3 novembre 2006</w:t>
      </w:r>
    </w:p>
    <w:p>
      <w:r>
        <w:t>IT: VD_OMNI PE.2006.0338 del 3 novembre 2006</w:t>
      </w:r>
    </w:p>
    <w:p>
      <w:pPr>
        <w:pStyle w:val="Heading2"/>
      </w:pPr>
      <w:r>
        <w:t>Regeste</w:t>
      </w:r>
    </w:p>
    <w:p>
      <w:r>
        <w:t>X. c/Service de la population (SPOP) | Refus d'octroi d'une autorisation de séjour pour études à une requérante qui, retournée dans son pays au terme d'un premier séjour en Suisse, est revenue dans notre pays au bénéfice d'un visa touristique de 90 jours. Au surplus, plan d'études trop imprécis et trop aléatoire, la requérante ayant échelonné ses examens d'entrée à l'université</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w:t>
      </w:r>
    </w:p>
    <w:p>
      <w:r>
        <w:rPr>
          <w:b/>
        </w:rPr>
        <w:t>E. 3</w:t>
      </w:r>
    </w:p>
    <w:p>
      <w:r>
        <w:t>Selon l'art. 1 er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en règle générale d'aucun droit à l'obtention d'une autorisation de séjour et de travail. a) Au préalable, on rappelle que la question des formalités à accomplir avant d'entrer en Suisse est réglée par l'Ordonnance du 14 janvier 1998 concernant l'entrée et la déclaration d'arrivée des étrangers (OEArr). L'art. 3 de cette ordonnance pose comme principe que tout étranger doit avoir un visa pour entrer en Suisse et l'art. 11 al. 3 précise que l'étranger est lié par les indications qui figurent dans son visa concernant le but de son voyage et de son séjour. Lorsque le visa a été délivré en application de l'art. 11 al. 1 OEArr (tourisme, visites, entretiens d'affaires, etc.) et que l'étranger souhaite changer le but de son séjour, aucune autorisation de séjour ne lui sera accordée. Le Tribunal administratif a jugé à plusieurs reprises qu’à défaut de droit à une autorisation de séjour, aucune dérogation à cette règle n'est possible (arrêts PE 2005.0044 du 16 décembre 2005 ; PE.2005.0184 du 20 septembre 2005), sauf en présence de situations particulières telles que par exemple en faveur d'étrangers possédant un droit à une autorisation de séjour (art. 7 et 17 LSEE). En l’espèce, la recourante est entrée en Suisse au bénéfice d'un visa de visite de nonante jours, ce quand bien même la décision de l’autorité intimée de ne pas prolonger son précédent permis de séjour ne lui a jamais été notifiée. La recourante était donc consciente de ce que cette autorisation avait expiré. Dès lors, elle ne peut pas modifier le but de son séjour et demander une nouvelle autorisation de séjour pour études. EIle aurait dû, le cas échéant, une fois retournée en Albanie, formuler sa demande depuis son pays d'origine et satisfaire aux conditions prévues à l'art. 32 OLE. Pour ce seul motif, l’autorisation requise doit lui être refusée ; en effet, la recourante, qui ne bénéficie d'aucun droit à la délivrance d'une autorisation de séjour en Suisse, ne saurait prétendre à l’octroi d’une dérogation. Au surplus, la recourante ne peut utilement invoquer la protection de sa bonne foi sur ce point ; elle n’a jamais allégué avoir réglé sa conduite d’après un comportement déterminé de l’autorité compétente  (v. sur ce point ATF 129 I 161, consid. 4.1 ; 361 p. 170, consid. 7.1, p. 381 ; 128 II 112, consid. 10b/aa, p. 125/126 ; 126 II 377, consid. 3a, p. 387 et les arrêts cités). b) L'art. 32 de l'Ordonnance du 6 octobre 1986 limitant le nombre des étrangers (OLE; RS 823.21) prévoit que des autorisations de séjour peuvent être accordées à des étudiants étrangers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Ces conditions sont cumulatives; en vertu de l'art.</w:t>
      </w:r>
    </w:p>
    <w:p>
      <w:r>
        <w:rPr>
          <w:b/>
        </w:rPr>
        <w:t>E. 4</w:t>
      </w:r>
    </w:p>
    <w:p>
      <w:r>
        <w:t>Il résulte des considérants qui précèdent que le recours doit être rejeté et la décision attaquée confirmée. Au vu de ce résultat, il convient de mettre à la charge de la recourante un émolument destiné à couvrir les frais de justice et de ne pas lui allouer de dépens, vu le sort du recours.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