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PE.2006.0326 vom 9. Oktober 2006</w:t>
      </w:r>
    </w:p>
    <w:p>
      <w:r>
        <w:t>VD Tribunal cantonal, 2006-10-09, FR</w:t>
      </w:r>
    </w:p>
    <w:p>
      <w:r>
        <w:rPr>
          <w:b/>
        </w:rPr>
        <w:t xml:space="preserve">Quelle: </w:t>
      </w:r>
      <w:r>
        <w:t>https://mcp.opencaselaw.ch/entscheid/vd_omni_PE.2006.0326</w:t>
      </w:r>
    </w:p>
    <w:p>
      <w:r>
        <w:t>FR: VD_OMNI PE.2006.0326 du 9 octobre 2006</w:t>
      </w:r>
    </w:p>
    <w:p>
      <w:r>
        <w:t>IT: VD_OMNI PE.2006.0326 del 9 ottobre 2006</w:t>
      </w:r>
    </w:p>
    <w:p>
      <w:pPr>
        <w:pStyle w:val="Heading2"/>
      </w:pPr>
      <w:r>
        <w:t>Regeste</w:t>
      </w:r>
    </w:p>
    <w:p>
      <w:r>
        <w:t>X /Service de la population (SPOP), Service de l'emploi Office cantonal de la main-d'oeuvre | Prolongation d'une autorisation de séjour pour études refusée à un ressortissant camerounais entré en Suisse pour suivre des études à l'EPFL, ayant échoué au CMS, souhaitant poursuivre des études auprès de la HEIG-VD, mais suivant une formation professionnelle accélérée (FPA) auprès de l'Ecole technique des métiers de Lausanne (ETML) en vue de l'obtention d'un CFC. Plan d'études pas respecté et choix d'une formation professionnelle qui ne peut être assimilée à des études.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est entré en Suisse en 2003 au bénéfice d'une autorisation temporaire, afin de lui permettre de suivre les cours de l'EPFL, respectivement le CMS. Il souhaite maintenant obtenir une autorisation de séjour afin de pouvoir suivre une formation accélérée dans une école de métiers, afin de poursuivre des études à la HEIG-VD.</w:t>
      </w:r>
    </w:p>
    <w:p>
      <w:r>
        <w:rPr>
          <w:b/>
        </w:rPr>
        <w:t>E. 6</w:t>
      </w:r>
    </w:p>
    <w:p>
      <w:r>
        <w:t>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Entrée, séjour et marché du travail" (Directives LSEE, 3 e version remaniée et adaptée, mai 2006) de l'Office fédéral des migrations (ODM, anciennement IMES) en particulier le chiffre 513,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b) En l'espèce, le recourant, âgé de 21 ans, est entré en Suisse dans le but de suivre des études à l'EPFL et il s'est expressément engagé à retourner dans son pays au terme de ses études auprès de cette école, en cas d'échec ou en cas de non respect du programme fixé. Il n'a jamais évoqué la possibilité, en cas d'échec, de poursuivre ses études auprès d'une autre école que l'EPFL. La condition de l'art. 32 lettre b OLE n'est plus réalisée dans la mesure où la nouvelle formation entreprise, soit un CFC d'électronicien auprès de l'école des métiers, ne répond pas à la définition d'études auprès d'une université ou d'un autre institut d'enseignement supérieur. Il n'est au surplus pas démontré que l'intéressé puisse ensuite suivre les cours de la HEIG-VD. De toute manière, il est superflu d'examiner plus avant si le recourant pouvait envisager un changement d'orientation, respectivement entreprendre de nouvelles études, puisqu'il n'a pas respecté les engagements pris. En effet, l’art. 11 al. 3 de l'Ordonnance du 14 janvier 1998 concernant l'entrée et la déclaration d'arrivée des étrangers (OEArr; RS 142.211) prévoit expressément que l’étranger est lié par les indications qui figurent dans son visa concernant le but de son voyage et de son séjour. L'autorité intimée n'a donc pas abusé de son pouvoir d'appréciation en refusant de délivrer au recourant l'autorisation de séjour pour études sollicitée.</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