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PE.2006.0299 vom 14. Dezember 2006</w:t>
      </w:r>
    </w:p>
    <w:p>
      <w:r>
        <w:t>VD Tribunal cantonal, 2006-12-14, FR</w:t>
      </w:r>
    </w:p>
    <w:p>
      <w:r>
        <w:rPr>
          <w:b/>
        </w:rPr>
        <w:t xml:space="preserve">Quelle: </w:t>
      </w:r>
      <w:r>
        <w:t>https://mcp.opencaselaw.ch/entscheid/vd_omni_PE.2006.0299</w:t>
      </w:r>
    </w:p>
    <w:p>
      <w:r>
        <w:t>FR: VD_OMNI PE.2006.0299 du 14 décembre 2006</w:t>
      </w:r>
    </w:p>
    <w:p>
      <w:r>
        <w:t>IT: VD_OMNI PE.2006.0299 del 14 dicembre 2006</w:t>
      </w:r>
    </w:p>
    <w:p>
      <w:pPr>
        <w:pStyle w:val="Heading2"/>
      </w:pPr>
      <w:r>
        <w:t>Regeste</w:t>
      </w:r>
    </w:p>
    <w:p>
      <w:r>
        <w:t>X._________ c/Service de la population (SPOP) | La recourante, ressortissante camerounaise, a obtenu une autorisation de séjour par mariage avec un ressortissant suisse. Elle a quitté le domicile conjugal en mai 2003 et la reprise de la vie commune n'est pas envisagée, son mari déclarant clairement qu'il ne la souhaite pas. La recourante invoque le fait qu'elle est atteinte par le virus HIV et qu'un renvoi dans son pays d'origine limiterait fortement ses chances de survie. Abus de droit confirmé, refus de délivrer un permis sous l'angle des directives 654 également. Quant aux moyens liés au principe de non-refoulement, ils doivent être invoqués devant l'ODM qui est appelé à prononcer le renvoi de Suisse. Recours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En vertu de l'art. 7 al. 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w:t>
      </w:r>
    </w:p>
    <w:p>
      <w:r>
        <w:rPr>
          <w:b/>
        </w:rPr>
        <w:t>E. 6</w:t>
      </w:r>
    </w:p>
    <w:p>
      <w:r>
        <w:t>Toutefois, conformément à la doctrine et à la jurisprudence, les droits conférés par l'art. 7 al. 1 LSEE s'éteignent si l'étranger invoque un mariage de façon abusive (cf. Directives et commentaires de l’Office fédéral des migrations sur l’entrée, le séjour et le marché du travail, abrégé ci-après : Directives, état mai 2006, chiffre 623.12; cf. ATF 123 II 49, c. 5c; 121 II 97, c. 4; 119 Ib 417, c. 2 et A. Wurzburger, La jurisprudence récente du Tribunal fédéral en matière de police des étrangers, RDAF 1997, p. 273). Ainsi, il y a abus de droit lorsqu'un étranger invoque un mariage n'existant plus que formellement dans le seul but d'obtenir ou de ne pas perdre une autorisation de séjour (ATF 128 II 97 concernant la révocation de la naturalisation; ATF 127 II 49 et 121 II 104).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lorsqu'il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Enfin, les motifs de la séparation ne jouent pas de rôle pour juger de la question de l’abus de droit dans le cadre de l’art. 7 LSEE, seul étant déterminant le point de savoir si une reprise de la vie commune est envisageable de part et d’autre (cf. ATF du 7 avril 2004 2A.17/2004). Ainsi, le tribunal fédéral a jugé qu'on ne saurait admettre de prolonger une autorisation de séjour au seul motif que la fin de la cohabitation pourrait être imputée au conjoint suisse, alors même qu'il n’y aurait aucun espoir de reprise de la vie commune (ATF 2A.17/2004 précité, consid. 4.3).</w:t>
      </w:r>
    </w:p>
    <w:p>
      <w:r>
        <w:rPr>
          <w:b/>
        </w:rPr>
        <w:t>E. 7</w:t>
      </w:r>
    </w:p>
    <w:p>
      <w:r>
        <w:t>En l'occurrence, la recourante admet avoir quitté le domicile conjugal à la fin du mois de mai 2003, soit après 7 mois de vie commune. Les parties n'ont pas repris la vie commune depuis. D'après les déclarations du mari de la recourante, la reprise de la vie commune est totalement exclue. Il s'est adressé très clairement en ce sens au SPOP dans son courrier du 22 septembre 2005. Si, certes, au regard des pièces figurant au dossier, les époux ne sont pas à ce jour divorcés, il n'en demeure pas moins que le mariage est à l'évidence vidé de toute substance et que la reprise de la vie commune n'est pas envisageable, après plus de 3 ans de séparation. C'est donc à juste titre que l'autorité intimée a considéré que la recourante a invoqué abusivement son mariage pour solliciter un renouvellement de son autorisation de séjour et a refusé un tel renouvellement.</w:t>
      </w:r>
    </w:p>
    <w:p>
      <w:r>
        <w:rPr>
          <w:b/>
        </w:rPr>
        <w:t>E. 8</w:t>
      </w:r>
    </w:p>
    <w:p>
      <w:r>
        <w:t>Par ailleurs, aucun enfant n'est issu du mariage de la recourante et de BX._________. La recourante n'a aucune attache familiale avec notre pays, si ce n'est ses relations professionnelles. La durée de son séjour en Suisse n'est pas d'une durée telle qu'elle justifierait un cas de rigueur au sens des directives ODM (chiffre 654). Certes, les certificats produits par ses employeurs démontrent qu'elle a su accomplir les tâches qui lui on été confiées à satisfaction et qu'elle est appréciée de ses collaborateurs. Toutefois, une telle intégration, somme toute normale, ne justifie pas un cas de rigueur au sens des directives précitées. Quant aux raisons de la dissolution du couple, d'une part, elles ne sauraient, au sens de la jurisprudence susmentionnée, justifier une prolongation du séjour de la recourante en Suisse, et d'autre part, aucun élément de permet d'affirmer que le mari de la recourante en serait à l'origine. C'est dès lors à juste titre que l'autorité intimée a révoqué l'autorisation de séjour de la recourante et sa décision doit être confirmée.</w:t>
      </w:r>
    </w:p>
    <w:p>
      <w:r>
        <w:rPr>
          <w:b/>
        </w:rPr>
        <w:t>E. 9</w:t>
      </w:r>
    </w:p>
    <w:p>
      <w:r>
        <w:t>Celle-ci invoque encore le fait qu'elle est atteinte par le virus HIV. Cette question, relative à l'exécution de son renvoi, a trait au principe de non-refoulement garanti notamment par l'art. 3 CEDH. Or, un tel grief ne peut être soulevé que dès le moment où l'Office fédéral des migrations prononce lui-même le renvoi du territoire suisse selon l'art. 12 al. 3 4 ème phrase LSEE. L'art. 3 CEDH ne peut donc être invoqué contre l'ordre de quitter le canton, mais uniquement contre la décision de renvoi du territoire suisse (arrêt TA PE.2005.0260 et PE.2006.0333). Autrement dit, il incombe à l'Office fédéral des migrations d'examiner si le renvoi de Suisse d'un étranger peut être ou non raisonnablement exigé. Partant, le grief invoqué à ce titre est inadmissible à ce stade de la procédure.</w:t>
      </w:r>
    </w:p>
    <w:p>
      <w:r>
        <w:rPr>
          <w:b/>
        </w:rPr>
        <w:t>E. 10</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