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PE.2006.0294 vom 16. November 2006</w:t>
      </w:r>
    </w:p>
    <w:p>
      <w:r>
        <w:t>VD Tribunal cantonal, 2006-11-16, FR</w:t>
      </w:r>
    </w:p>
    <w:p>
      <w:r>
        <w:rPr>
          <w:b/>
        </w:rPr>
        <w:t xml:space="preserve">Quelle: </w:t>
      </w:r>
      <w:r>
        <w:t>https://mcp.opencaselaw.ch/entscheid/vd_omni_PE.2006.0294</w:t>
      </w:r>
    </w:p>
    <w:p>
      <w:r>
        <w:t>FR: VD_OMNI PE.2006.0294 du 16 novembre 2006</w:t>
      </w:r>
    </w:p>
    <w:p>
      <w:r>
        <w:t>IT: VD_OMNI PE.2006.0294 del 16 novembre 2006</w:t>
      </w:r>
    </w:p>
    <w:p>
      <w:pPr>
        <w:pStyle w:val="Heading2"/>
      </w:pPr>
      <w:r>
        <w:t>Regeste</w:t>
      </w:r>
    </w:p>
    <w:p>
      <w:r>
        <w:t>X. c/Service de la population (SPOP) | Les époux, Thaïlandais ont partagé la vie commune pendant une durée totale de dix-huit mois en cinq ans, entrecoupée par deux séparations. Aucun enfant n'est né de cette union. Les prespectives de reprise de la vie commune sont illusoires. Le mariage étant vidé de sa substance, il est abusif de s'en prévaloir pour l'obtention d'une autorisation de séjour. Le recourant, jeune et en bonne santé, peut retourner en Thaïlande. Pas de cas de rigueur en l'occurrence.</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Le conjoint d'un étranger qui possède l'autorisation d'établissement a droit à l'autorisation de séjour aussi longtemps que les époux vivent ensemble (art. 17 al. 2 LSEE). Le ménage commun est donc une condition sine qua non pour reconnaître au conjoint d'un étranger titulaire d'un permis le droit de se voir délivrer une autorisation de séjour. Selon l’art.</w:t>
      </w:r>
    </w:p>
    <w:p>
      <w:r>
        <w:rPr>
          <w:b/>
        </w:rPr>
        <w:t>E. 7</w:t>
      </w:r>
    </w:p>
    <w:p>
      <w:r>
        <w:t>al. 2 LSEE,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Si le mariage s'est révélé de complaisance ou s'il existe un abus de droit, les droits conférés par l'art. 7 al. 2 LSEE s’éteignent (ATF 131 II 265 consid. 4.1 p. 266/267; 123 II 49 consid. 5c et d p. 52-54; 121 II 97 consid. 4 p. 103/104, et les arrêts cités). Les mêmes règles s’appliquent aux droits découlant de l'art. 17 al. 2 LSEE. c) Seul un abus manifeste peut être pris en considération; son existence éventuelle doit être appréciée au regard de chaque cas particulier et avec retenue (ATF 131 II 265 consid. 4.2 p. 267;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149ss). N’est pas davantage à lui seul déterminant le fait qu’une procédure de divorce soit engagée ou que les époux vivent séparé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En l’occurrence, le couple a partagé la vie commune pendant dix-huit mois en tout sur une période de cinq ans de mariage (soit d’avril 2001 à mars 2002, puis d’avril à novembre 2005). Aucun enfant n’est né de cette union. La procédure de divorce engagée en 2003 n’a pas suivi son cours. Les motifs pour lesquels les époux se sont séparés, puis raccommodés, ne sont pas clairs. Il semble que B. X.________ ait par deux fois chassé le recourant du domicile conjugal pour se mettre en ménage avec un autre homme. Les époux ne vivent plus sous le même toit depuis près d’un an, et rien ne laisse présager une nouvelle réconciliation, durable cette fois. Du point du vue du recourant, qui prétend s’être marié par amour et être resté attaché à son épouse, cette situation est sans doute navrante. Il n’en demeure pas moins que cette union n’a plus de raison d’être, car l’épouse ne semble plus vouloir se remettre en ménage avec le recourant. d) Eu égard à l’ensemble des circonstances de la cause, le mariage des époux X.________ a perdu toute substance. Conséquemment, c’est de manière abusive que le recourant s’en prévaut pour obtenir le renouvellement de son autorisation de séjour en Suisse. La décision attaquée est ainsi bien fondée (cf. dans le même sens et en dernier lieu ATF 2A.504/2005 du 12 septembre 2005 et 2A.108/2005 du 28 février 2005; arrêts PE.2006.0283 du 10 octobre 2006; PE.2006.0243 du 5 octobre 2006; PE.2003.0389 du 29 juin 2006, PE.2005.0134 du 29 décembre 2005, PE.2004.0585 du 23 mai 2005, PE.2004.0463 du 5 avril 2005). c) Pour le surplus, le recourant n'a pas droit à une autorisation d'établissement au sens de l'art. 17 al. 1, 2 e phrase LSEE, la rupture de l'union conjugale étant survenue avant l'échéance du délai de cinq ans prévu par cette disposition. d) Le recourant est un homme jeune et en bonne santé. L’activité qu’il exerce ne justifie pas qu’il reste en Suisse. Il n’y a ainsi aucun obstacle à ce qu’il regagne la Thaïlande, même si une partie de sa famille vit en Suisse. On ne se trouve en tout cas pas dans un cas de rigueur au sens de l’art. 13 let. f OLE. 3. Le recours doit ainsi être rejeté et la décision attaquée confirmée. Les frais sont mis à la charge du recourant; il n’y a pas lieu d’allouer des dépens (art. 55 al. 2 LJPA).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